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88" w:rsidRDefault="00EF3AF0" w:rsidP="00E34288">
      <w:pPr>
        <w:pStyle w:val="Corpsdetexte"/>
        <w:ind w:left="-2127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1.7pt;margin-top:-17.4pt;width:324.45pt;height:458.25pt;z-index:251657728" filled="f" strokecolor="white">
            <v:textbox style="mso-next-textbox:#_x0000_s1032">
              <w:txbxContent>
                <w:p w:rsidR="003A58BB" w:rsidRPr="00713C43" w:rsidRDefault="003A58BB" w:rsidP="001A3A49">
                  <w:pPr>
                    <w:pBdr>
                      <w:bottom w:val="single" w:sz="4" w:space="4" w:color="497B5A"/>
                    </w:pBdr>
                    <w:spacing w:after="0"/>
                    <w:rPr>
                      <w:rFonts w:ascii="Franklin Gothic Book" w:hAnsi="Franklin Gothic Book"/>
                      <w:b/>
                      <w:bCs/>
                      <w:color w:val="497B5A"/>
                      <w:sz w:val="20"/>
                      <w:szCs w:val="20"/>
                      <w:lang w:val="fr-FR"/>
                    </w:rPr>
                  </w:pPr>
                  <w:r w:rsidRPr="00713C43">
                    <w:rPr>
                      <w:rFonts w:ascii="Franklin Gothic Book" w:hAnsi="Franklin Gothic Book"/>
                      <w:b/>
                      <w:bCs/>
                      <w:color w:val="497B5A"/>
                      <w:sz w:val="20"/>
                      <w:szCs w:val="20"/>
                      <w:lang w:val="fr-FR"/>
                    </w:rPr>
                    <w:t>Le marché durant la semaine :</w:t>
                  </w:r>
                </w:p>
                <w:p w:rsidR="003A58BB" w:rsidRPr="001F3E6A" w:rsidRDefault="003A58BB" w:rsidP="000771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Malgré la richesse de la semaine boursière en bonne  performance des sociétés cotées en bourse, le </w:t>
                  </w:r>
                  <w:proofErr w:type="spellStart"/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Tunindex</w:t>
                  </w:r>
                  <w:proofErr w:type="spellEnd"/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a continué son trend baissier en clôturant la semaine en rouge de 1,3%  à 5 145,66 points. Ce qui ramené sa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performance depu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is le début de l’année 2015 à 1,1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%. Sur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la même lignée, le Tunindex20 a perdu  1,2% à 2 193,15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points ramen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ant sa performance annuelle à 0,8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%.</w:t>
                  </w:r>
                </w:p>
                <w:p w:rsidR="003A58BB" w:rsidRPr="001F3E6A" w:rsidRDefault="003A58BB" w:rsidP="000F031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Le rythme des échanges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a été plus dynamique cette semaine à 26,91MDT contre  21,82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MDT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la semaine dernière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avec une moyenne quotid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ienne de  5,383MDT.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Il est à noter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que  ce volume ne tient pas compte des 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transaction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 de bloc.</w:t>
                  </w:r>
                </w:p>
                <w:p w:rsidR="003A58BB" w:rsidRDefault="003A58BB" w:rsidP="005937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La balance des titres a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été nettement tirée vers le bas  avec 47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valeurs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à la baisse  et 22 à la hau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sse. Le reste des titres est resté inchangé. </w:t>
                  </w:r>
                </w:p>
                <w:p w:rsidR="003A58BB" w:rsidRDefault="003A58BB" w:rsidP="004F58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Du côté des indices sectoriels, dix indices ont perdu du terrain cette semaine dont le plus perdant est le secteur des «</w:t>
                  </w:r>
                  <w:r w:rsidRPr="006650A8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Bâtiments et Matériaux de construction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 xml:space="preserve">» de 2,8% à  730 ,24 points en raison de la baisse des cours des titres : Ciments de Bizerte (-8,00%),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Somocer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 xml:space="preserve">     (-3,1%) , Carthage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Cement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 xml:space="preserve"> (-2,2%)……Deux indices ont gagné du terrain dont le plus performant est le secteur des «  </w:t>
                  </w:r>
                  <w:r w:rsidRPr="006650A8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Produits Ménagers et de Soins Personnel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» qui a progressé de 1,7% à 1573,66  points suivi du secteur de « </w:t>
                  </w:r>
                  <w:r w:rsidRPr="0053547C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Distribution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 » qui a gagné 0,1% à 5051,29 points. L’indice «</w:t>
                  </w:r>
                  <w:r w:rsidRPr="006650A8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Services aux consommateurs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fr-FR" w:eastAsia="fr-FR"/>
                    </w:rPr>
                    <w:t> »  a marqué une pause  cette semaine à 3228,02 points.</w:t>
                  </w:r>
                </w:p>
                <w:p w:rsidR="003A58BB" w:rsidRPr="00713C43" w:rsidRDefault="003A58BB" w:rsidP="001A6E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Franklin Gothic Book" w:hAnsi="Franklin Gothic Book"/>
                      <w:sz w:val="20"/>
                      <w:szCs w:val="20"/>
                      <w:lang w:val="fr-FR"/>
                    </w:rPr>
                  </w:pPr>
                  <w:r w:rsidRPr="00713C43">
                    <w:rPr>
                      <w:rFonts w:ascii="Franklin Gothic Book" w:hAnsi="Franklin Gothic Book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3A58BB" w:rsidRPr="009B15AA" w:rsidRDefault="003A58BB" w:rsidP="009B15AA">
                  <w:pPr>
                    <w:pBdr>
                      <w:bottom w:val="single" w:sz="4" w:space="2" w:color="497B5A"/>
                    </w:pBdr>
                    <w:spacing w:after="0"/>
                    <w:jc w:val="both"/>
                    <w:rPr>
                      <w:rFonts w:ascii="Franklin Gothic Book" w:hAnsi="Franklin Gothic Book"/>
                      <w:b/>
                      <w:bCs/>
                      <w:color w:val="497B5A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color w:val="497B5A"/>
                      <w:sz w:val="20"/>
                      <w:szCs w:val="20"/>
                      <w:lang w:val="fr-FR"/>
                    </w:rPr>
                    <w:t>Comportement des valeurs :</w:t>
                  </w:r>
                </w:p>
                <w:p w:rsidR="003A58BB" w:rsidRDefault="003A58BB" w:rsidP="003A58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Le titre </w:t>
                  </w:r>
                  <w:r>
                    <w:rPr>
                      <w:rFonts w:eastAsia="Times New Roman" w:cs="Calibri"/>
                      <w:b/>
                      <w:bCs/>
                      <w:color w:val="00B050"/>
                      <w:sz w:val="18"/>
                      <w:szCs w:val="18"/>
                      <w:lang w:val="fr-FR"/>
                    </w:rPr>
                    <w:t>MIP</w:t>
                  </w:r>
                  <w:r w:rsidRPr="004F58BE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,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s’est adjugé cette semaine la plus forte p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rogression de la semaine avec 11,7% clôturant à 0,670DT</w:t>
                  </w:r>
                  <w:r>
                    <w:rPr>
                      <w:rFonts w:ascii="Arial" w:hAnsi="Arial"/>
                      <w:color w:val="003366"/>
                      <w:sz w:val="16"/>
                      <w:szCs w:val="16"/>
                      <w:lang w:val="fr-FR" w:eastAsia="fr-FR"/>
                    </w:rPr>
                    <w:t>.</w:t>
                  </w:r>
                  <w:r w:rsidRPr="0026477B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Le titre a amélioré sa contre –performance depuis le début de l’année  à 71,6</w:t>
                  </w:r>
                  <w:r w:rsidRPr="00872337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0</w:t>
                  </w:r>
                  <w:r w:rsidRPr="00AA69F1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.</w:t>
                  </w:r>
                  <w:r w:rsidRPr="003A58BB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Les produits d’exploitation de la société MIP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ont régressé de 17,3% à 5,164MDT.</w:t>
                  </w:r>
                  <w:r w:rsidRPr="003A58BB">
                    <w:rPr>
                      <w:lang w:val="fr-FR"/>
                    </w:rPr>
                    <w:t xml:space="preserve">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Suivi du  titre </w:t>
                  </w:r>
                  <w:r>
                    <w:rPr>
                      <w:rFonts w:eastAsia="Times New Roman" w:cs="Calibri"/>
                      <w:b/>
                      <w:bCs/>
                      <w:color w:val="00B050"/>
                      <w:sz w:val="18"/>
                      <w:szCs w:val="18"/>
                      <w:lang w:val="fr-FR"/>
                    </w:rPr>
                    <w:t xml:space="preserve">Office Plast </w:t>
                  </w:r>
                  <w:r w:rsidRPr="00EE359B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qui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</w:t>
                  </w:r>
                  <w:r w:rsidRPr="003A58BB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ous le poids d'opérations de prise de bénéfices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, il a affiché une performance de 10,20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dans un volume d’affaires à 1919mDT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.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Le titre affiche une performance annuelle de  99,1</w:t>
                  </w:r>
                  <w:r w:rsidRPr="00872337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0</w:t>
                  </w:r>
                  <w:r w:rsidRPr="00AA69F1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. </w:t>
                  </w:r>
                  <w:r w:rsidRPr="00480AD9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D’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après les indicateurs d’activité au 30/09/2015</w:t>
                  </w:r>
                  <w:r w:rsidRPr="00480AD9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, le résultat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net de la société a progressé</w:t>
                  </w:r>
                  <w:r w:rsidRPr="00480AD9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de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38,61% à 159,71mDT.</w:t>
                  </w:r>
                </w:p>
                <w:p w:rsidR="00EE58C8" w:rsidRPr="004F58BE" w:rsidRDefault="00EE58C8" w:rsidP="003A58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</w:p>
                <w:p w:rsidR="003A58BB" w:rsidRDefault="003A58BB" w:rsidP="00EE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lang w:val="fr-FR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Du côté des baisses, le titre GIF   a perdu  9,4% au cours de 2,78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0DT drainant un volume de t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ransaction  de 236m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DT.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Le titre affiche un rendement annuel de (-15,2</w:t>
                  </w:r>
                  <w:r w:rsidRPr="00480AD9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%). </w:t>
                  </w:r>
                  <w:r w:rsidRPr="001637A1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Suivi du titre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FF0000"/>
                      <w:sz w:val="18"/>
                      <w:szCs w:val="18"/>
                      <w:lang w:val="fr-FR"/>
                    </w:rPr>
                    <w:t>les Ciments de Bizerte</w:t>
                  </w:r>
                  <w:r w:rsidRPr="001637A1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bCs/>
                      <w:color w:val="FF0000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qui a accusé un repli de 8,00% à 3,690DT</w:t>
                  </w:r>
                  <w:r w:rsidRPr="008E503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Le titre présente une contre- performance depuis le début de l’année 2015 à hauteur de 42,8%.</w:t>
                  </w:r>
                  <w:r w:rsidRP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D’après les indicateurs d’activité au 30/09/2015, le  chiffre d’affaires s'est inscrit en baisse de 4,24</w:t>
                  </w:r>
                  <w:r w:rsidR="00EE58C8" w:rsidRP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% à 40,8</w:t>
                  </w:r>
                  <w:r w:rsidRP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MDT</w:t>
                  </w:r>
                  <w:r w:rsidR="00EE58C8" w:rsidRP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.</w:t>
                  </w:r>
                </w:p>
                <w:p w:rsidR="00EE58C8" w:rsidRPr="00150006" w:rsidRDefault="00EE58C8" w:rsidP="00EE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</w:p>
                <w:p w:rsidR="003A58BB" w:rsidRDefault="003A58BB" w:rsidP="00EE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L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e titre 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le plus attractif de la semain</w:t>
                  </w:r>
                  <w:r w:rsid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e pour un volume échangé de 9895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m</w:t>
                  </w:r>
                  <w:r w:rsidRPr="001F3E6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D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T a été le titre </w:t>
                  </w:r>
                  <w:r w:rsid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SFBT qui a perdu  1,9% à 22,12</w:t>
                  </w:r>
                  <w:r w:rsidRPr="00480AD9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0DT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.</w:t>
                  </w:r>
                  <w:r w:rsid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D’après les indicateurs d’activité au 30/09</w:t>
                  </w:r>
                  <w:r w:rsidRPr="0041620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/2015</w:t>
                  </w:r>
                  <w:r w:rsid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, les revenus  se sont  inscrits en bai</w:t>
                  </w:r>
                  <w:r w:rsidRPr="0041620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>sse de</w:t>
                  </w:r>
                  <w:r w:rsidR="00EE58C8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3% à 248MDT.</w:t>
                  </w:r>
                  <w:r w:rsidRPr="0041620A">
                    <w:rPr>
                      <w:rFonts w:eastAsia="Times New Roman" w:cs="Calibri"/>
                      <w:sz w:val="18"/>
                      <w:szCs w:val="18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fr-FR" w:eastAsia="fr-FR"/>
        </w:rPr>
        <w:pict>
          <v:shape id="_x0000_s1026" type="#_x0000_t202" style="position:absolute;left:0;text-align:left;margin-left:472.9pt;margin-top:-12.6pt;width:3in;height:453.45pt;z-index:251655680" fillcolor="#eaf1dd" strokecolor="white">
            <v:textbox style="mso-next-textbox:#_x0000_s1026">
              <w:txbxContent>
                <w:p w:rsidR="003A58BB" w:rsidRDefault="003A58BB" w:rsidP="00EE58C8">
                  <w:pPr>
                    <w:spacing w:after="0"/>
                    <w:jc w:val="both"/>
                    <w:rPr>
                      <w:noProof/>
                      <w:lang w:val="fr-FR" w:eastAsia="fr-FR"/>
                    </w:rPr>
                  </w:pPr>
                  <w:r w:rsidRPr="00F672DF">
                    <w:rPr>
                      <w:noProof/>
                      <w:sz w:val="12"/>
                      <w:szCs w:val="12"/>
                      <w:lang w:val="fr-FR" w:eastAsia="fr-FR"/>
                    </w:rPr>
                    <w:drawing>
                      <wp:inline distT="0" distB="0" distL="0" distR="0">
                        <wp:extent cx="2451389" cy="1801092"/>
                        <wp:effectExtent l="0" t="0" r="0" b="0"/>
                        <wp:docPr id="1" name="Graphique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4308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496"/>
                    <w:gridCol w:w="656"/>
                    <w:gridCol w:w="1156"/>
                  </w:tblGrid>
                  <w:tr w:rsidR="003A58BB" w:rsidRPr="00F672DF" w:rsidTr="00F672DF">
                    <w:trPr>
                      <w:trHeight w:val="33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Plus fortes hausses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</w:tr>
                  <w:tr w:rsidR="003A58BB" w:rsidRPr="00F672DF" w:rsidTr="00F672DF">
                    <w:trPr>
                      <w:trHeight w:val="135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F672DF" w:rsidTr="00F672DF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Clôture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Variation</w:t>
                        </w:r>
                      </w:p>
                    </w:tc>
                  </w:tr>
                  <w:tr w:rsidR="003A58BB" w:rsidRPr="00F672DF" w:rsidTr="00F672DF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MIP (Alternatif)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0,670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  <w:t>11,7%</w:t>
                        </w:r>
                      </w:p>
                    </w:tc>
                  </w:tr>
                  <w:tr w:rsidR="003A58BB" w:rsidRPr="00F672DF" w:rsidTr="00F672DF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Office Plast (Alternatif)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4,440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  <w:t>10,2%</w:t>
                        </w:r>
                      </w:p>
                    </w:tc>
                  </w:tr>
                  <w:tr w:rsidR="003A58BB" w:rsidRPr="00F672DF" w:rsidTr="00F672DF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proofErr w:type="spellStart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Tawasol</w:t>
                        </w:r>
                        <w:proofErr w:type="spellEnd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 Group Holding (Alternatif)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0,590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  <w:t>5,4%</w:t>
                        </w:r>
                      </w:p>
                    </w:tc>
                  </w:tr>
                  <w:tr w:rsidR="003A58BB" w:rsidRPr="00F672DF" w:rsidTr="00F672DF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ICF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25,850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  <w:t>3,2%</w:t>
                        </w:r>
                      </w:p>
                    </w:tc>
                  </w:tr>
                  <w:tr w:rsidR="003A58BB" w:rsidRPr="00F672DF" w:rsidTr="00F672DF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SAH (LILAS)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10,200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  <w:t>3,1%</w:t>
                        </w:r>
                      </w:p>
                    </w:tc>
                  </w:tr>
                  <w:tr w:rsidR="003A58BB" w:rsidRPr="00F672DF" w:rsidTr="00F672DF">
                    <w:trPr>
                      <w:trHeight w:val="135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F672DF" w:rsidTr="00F672DF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Plus fortes baisses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</w:tr>
                  <w:tr w:rsidR="003A58BB" w:rsidRPr="00F672DF" w:rsidTr="00F672DF">
                    <w:trPr>
                      <w:trHeight w:val="9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F672DF" w:rsidTr="00F672DF">
                    <w:trPr>
                      <w:trHeight w:val="225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Clôture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Variation</w:t>
                        </w: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GIF-</w:t>
                        </w:r>
                        <w:proofErr w:type="spellStart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Filter</w:t>
                        </w:r>
                        <w:proofErr w:type="spellEnd"/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2,780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-9,4%</w:t>
                        </w:r>
                      </w:p>
                    </w:tc>
                  </w:tr>
                  <w:tr w:rsidR="003A58BB" w:rsidRPr="00F672DF" w:rsidTr="00F672DF">
                    <w:trPr>
                      <w:trHeight w:val="225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Ciments de Bizerte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3,690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-8,0%</w:t>
                        </w:r>
                      </w:p>
                    </w:tc>
                  </w:tr>
                  <w:tr w:rsidR="003A58BB" w:rsidRPr="00F672DF" w:rsidTr="00F672DF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AMS (Alternatif)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3,690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-8,0%</w:t>
                        </w:r>
                      </w:p>
                    </w:tc>
                  </w:tr>
                  <w:tr w:rsidR="003A58BB" w:rsidRPr="00F672DF" w:rsidTr="00F672DF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SITS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1,890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-5,5%</w:t>
                        </w:r>
                      </w:p>
                    </w:tc>
                  </w:tr>
                  <w:tr w:rsidR="003A58BB" w:rsidRPr="00F672DF" w:rsidTr="00F672DF">
                    <w:trPr>
                      <w:trHeight w:val="9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Plus forts volumes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</w:tr>
                  <w:tr w:rsidR="003A58BB" w:rsidRPr="00F672DF" w:rsidTr="00F672DF">
                    <w:trPr>
                      <w:trHeight w:val="12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 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Clôture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  <w:t>Volume échangé</w:t>
                        </w: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SFBT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22,120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9 895 020</w:t>
                        </w:r>
                      </w:p>
                    </w:tc>
                  </w:tr>
                  <w:tr w:rsidR="003A58BB" w:rsidRPr="00F672DF" w:rsidTr="00F672DF">
                    <w:trPr>
                      <w:trHeight w:val="225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SPDIT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13,130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2 714 998</w:t>
                        </w: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proofErr w:type="spellStart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Attijari</w:t>
                        </w:r>
                        <w:proofErr w:type="spellEnd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 Bank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25,000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1 000 621</w:t>
                        </w:r>
                      </w:p>
                    </w:tc>
                  </w:tr>
                  <w:tr w:rsidR="003A58BB" w:rsidRPr="00F672DF" w:rsidTr="00F672DF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Carthage </w:t>
                        </w:r>
                        <w:proofErr w:type="spellStart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Cement</w:t>
                        </w:r>
                        <w:proofErr w:type="spellEnd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1,350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998 011</w:t>
                        </w:r>
                      </w:p>
                    </w:tc>
                  </w:tr>
                  <w:tr w:rsidR="003A58BB" w:rsidRPr="00F672DF" w:rsidTr="00F672DF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Assurances Mutuel </w:t>
                        </w:r>
                        <w:proofErr w:type="spellStart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Ittihad</w:t>
                        </w:r>
                        <w:proofErr w:type="spellEnd"/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 xml:space="preserve"> - AMI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15,600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F672DF" w:rsidRDefault="003A58BB" w:rsidP="00F672DF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F672DF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964 972</w:t>
                        </w:r>
                      </w:p>
                    </w:tc>
                  </w:tr>
                </w:tbl>
                <w:p w:rsidR="003A58BB" w:rsidRDefault="003A58BB" w:rsidP="00D25E84">
                  <w:pPr>
                    <w:spacing w:after="0"/>
                    <w:jc w:val="both"/>
                    <w:rPr>
                      <w:noProof/>
                      <w:lang w:val="fr-FR" w:eastAsia="fr-FR"/>
                    </w:rPr>
                  </w:pPr>
                  <w:r w:rsidRPr="0053547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451389" cy="1801092"/>
                        <wp:effectExtent l="0" t="0" r="0" b="0"/>
                        <wp:docPr id="3" name="Graphique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4308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2496"/>
                    <w:gridCol w:w="656"/>
                    <w:gridCol w:w="1156"/>
                  </w:tblGrid>
                  <w:tr w:rsidR="003A58BB" w:rsidRPr="002625CD" w:rsidTr="002625CD">
                    <w:trPr>
                      <w:trHeight w:val="33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12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9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6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9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5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10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9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75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25"/>
                    </w:trPr>
                    <w:tc>
                      <w:tcPr>
                        <w:tcW w:w="24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40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2625CD" w:rsidTr="002625CD">
                    <w:trPr>
                      <w:trHeight w:val="263"/>
                    </w:trPr>
                    <w:tc>
                      <w:tcPr>
                        <w:tcW w:w="24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115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2625CD" w:rsidRDefault="003A58BB" w:rsidP="002625CD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</w:tbl>
                <w:p w:rsidR="003A58BB" w:rsidRDefault="003A58BB" w:rsidP="00D25E84">
                  <w:pPr>
                    <w:spacing w:after="0"/>
                    <w:jc w:val="both"/>
                    <w:rPr>
                      <w:noProof/>
                      <w:lang w:val="fr-FR" w:eastAsia="fr-FR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val="fr-FR" w:eastAsia="fr-FR"/>
        </w:rPr>
        <w:pict>
          <v:shape id="_x0000_s1029" type="#_x0000_t202" style="position:absolute;left:0;text-align:left;margin-left:-143pt;margin-top:-17.4pt;width:278.1pt;height:458.25pt;z-index:251656704" fillcolor="#eaf1dd" strokecolor="white">
            <v:textbox style="mso-next-textbox:#_x0000_s1029">
              <w:txbxContent>
                <w:tbl>
                  <w:tblPr>
                    <w:tblW w:w="5464" w:type="dxa"/>
                    <w:tblInd w:w="7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012"/>
                    <w:gridCol w:w="816"/>
                    <w:gridCol w:w="736"/>
                    <w:gridCol w:w="716"/>
                  </w:tblGrid>
                  <w:tr w:rsidR="003A58BB" w:rsidRPr="0053547C" w:rsidTr="0053547C">
                    <w:trPr>
                      <w:trHeight w:val="33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5464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>
                        <w:tblGrid>
                          <w:gridCol w:w="5604"/>
                          <w:gridCol w:w="816"/>
                          <w:gridCol w:w="736"/>
                          <w:gridCol w:w="716"/>
                        </w:tblGrid>
                        <w:tr w:rsidR="003A58BB" w:rsidRPr="006650A8" w:rsidTr="006650A8">
                          <w:trPr>
                            <w:trHeight w:val="33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tbl>
                              <w:tblPr>
                                <w:tblW w:w="5464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>
                              <w:tblGrid>
                                <w:gridCol w:w="3196"/>
                                <w:gridCol w:w="816"/>
                                <w:gridCol w:w="736"/>
                                <w:gridCol w:w="716"/>
                              </w:tblGrid>
                              <w:tr w:rsidR="003A58BB" w:rsidRPr="006650A8" w:rsidTr="006650A8">
                                <w:trPr>
                                  <w:trHeight w:val="33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Résumé du marché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35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40"/>
                                </w:trPr>
                                <w:tc>
                                  <w:tcPr>
                                    <w:tcW w:w="4012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Résumé du marché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9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proofErr w:type="spellStart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Tunindex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5145,66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9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Variation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hebdo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-1,3%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9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Variation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1,1%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9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proofErr w:type="spellStart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Tunindex</w:t>
                                    </w:r>
                                    <w:proofErr w:type="spellEnd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 20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2166,43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9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Variation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hebdo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-1,2%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1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Variation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0,8%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4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Volume de la semaine (MD)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26,91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9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Capitalisation boursière (MD)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17 329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25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PE 2014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16,1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48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proofErr w:type="spellStart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Div</w:t>
                                    </w:r>
                                    <w:proofErr w:type="spellEnd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Yield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3,2%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2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4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Performance OPCVM BNAC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05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9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Clôture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hebdo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an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Placement Obligataire SICAV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103,679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0,1%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-0,6%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4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SICAV BNA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87,162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-0,7%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2,0%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FCP Progrès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133,011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-0,8%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4,4%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FCP Confiance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129,111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-0,4%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3,3%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05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0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Indices sectoriels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497B5A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110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Clôture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hebdo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497B5A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Var </w:t>
                                    </w:r>
                                    <w:r w:rsidRPr="006650A8">
                                      <w:rPr>
                                        <w:rFonts w:eastAsia="Times New Roman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16"/>
                                        <w:vertAlign w:val="subscript"/>
                                        <w:lang w:val="fr-FR" w:eastAsia="fr-FR"/>
                                      </w:rPr>
                                      <w:t>an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Sociétés financières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3643,18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-1,6%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5,9%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Banques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3290,25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-1,7%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5,6%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Assurances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9472,03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-0,3%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-1,5%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Services financiers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5696,08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-0,8%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12,8%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Services aux consommateurs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3228,02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0,0%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-9,6%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Distribution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5051,29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0,1%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-7,8%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Biens de consommation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4402,60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-1,0%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9,6%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Automobile et Equipementiers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1582,46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-1,9%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-26,1%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Agro-alimentaire et Boissons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5325,83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-1,5%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9,6%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 xml:space="preserve"> Produits Ménagers et de Soins Personnel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1573,66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1,7%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B05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22,5%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Industries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1138,96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-2,2%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-26,9%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Bâtiments et Matériaux de construction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730,24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-2,8%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dotted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-30,5%</w:t>
                                    </w:r>
                                  </w:p>
                                </w:tc>
                              </w:tr>
                              <w:tr w:rsidR="003A58BB" w:rsidRPr="006650A8" w:rsidTr="006650A8">
                                <w:trPr>
                                  <w:trHeight w:val="263"/>
                                </w:trPr>
                                <w:tc>
                                  <w:tcPr>
                                    <w:tcW w:w="319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Matériaux de base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1909,83</w:t>
                                    </w:r>
                                  </w:p>
                                </w:tc>
                                <w:tc>
                                  <w:tcPr>
                                    <w:tcW w:w="73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-1,2%</w:t>
                                    </w:r>
                                  </w:p>
                                </w:tc>
                                <w:tc>
                                  <w:tcPr>
                                    <w:tcW w:w="716" w:type="dxa"/>
                                    <w:tcBorders>
                                      <w:top w:val="dotted" w:sz="4" w:space="0" w:color="497B5A"/>
                                      <w:left w:val="nil"/>
                                      <w:bottom w:val="single" w:sz="4" w:space="0" w:color="497B5A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3A58BB" w:rsidRPr="006650A8" w:rsidRDefault="003A58BB" w:rsidP="006650A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</w:pPr>
                                    <w:r w:rsidRPr="006650A8">
                                      <w:rPr>
                                        <w:rFonts w:eastAsia="Times New Roman" w:cs="Times New Roman"/>
                                        <w:color w:val="FF0000"/>
                                        <w:sz w:val="16"/>
                                        <w:szCs w:val="16"/>
                                        <w:lang w:val="fr-FR" w:eastAsia="fr-FR"/>
                                      </w:rPr>
                                      <w:t>-16,1%</w:t>
                                    </w:r>
                                  </w:p>
                                </w:tc>
                              </w:tr>
                            </w:tbl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135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40"/>
                          </w:trPr>
                          <w:tc>
                            <w:tcPr>
                              <w:tcW w:w="40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9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9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9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9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9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1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4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90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25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12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4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4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90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40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105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b/>
                                  <w:bCs/>
                                  <w:color w:val="497B5A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165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497B5A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B05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dotted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  <w:tr w:rsidR="003A58BB" w:rsidRPr="006650A8" w:rsidTr="006650A8">
                          <w:trPr>
                            <w:trHeight w:val="263"/>
                          </w:trPr>
                          <w:tc>
                            <w:tcPr>
                              <w:tcW w:w="3196" w:type="dxa"/>
                              <w:tcBorders>
                                <w:top w:val="nil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3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716" w:type="dxa"/>
                              <w:tcBorders>
                                <w:top w:val="dotted" w:sz="4" w:space="0" w:color="497B5A"/>
                                <w:left w:val="nil"/>
                                <w:bottom w:val="single" w:sz="4" w:space="0" w:color="497B5A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3A58BB" w:rsidRPr="006650A8" w:rsidRDefault="003A58BB" w:rsidP="006650A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Times New Roman"/>
                                  <w:color w:val="FF0000"/>
                                  <w:sz w:val="16"/>
                                  <w:szCs w:val="16"/>
                                  <w:lang w:val="fr-FR" w:eastAsia="fr-FR"/>
                                </w:rPr>
                              </w:pPr>
                            </w:p>
                          </w:tc>
                        </w:tr>
                      </w:tbl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12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40"/>
                    </w:trPr>
                    <w:tc>
                      <w:tcPr>
                        <w:tcW w:w="401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9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9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9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9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9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7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4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85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25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15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4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18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4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300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165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b/>
                            <w:bCs/>
                            <w:color w:val="497B5A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120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497B5A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b/>
                            <w:bCs/>
                            <w:color w:val="FFFFFF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B05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dotted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</w:p>
                    </w:tc>
                  </w:tr>
                  <w:tr w:rsidR="003A58BB" w:rsidRPr="0053547C" w:rsidTr="0053547C">
                    <w:trPr>
                      <w:trHeight w:val="263"/>
                    </w:trPr>
                    <w:tc>
                      <w:tcPr>
                        <w:tcW w:w="319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53547C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Matériaux de base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53547C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val="fr-FR" w:eastAsia="fr-FR"/>
                          </w:rPr>
                          <w:t>1911,22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53547C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-1,3%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dotted" w:sz="4" w:space="0" w:color="497B5A"/>
                          <w:left w:val="nil"/>
                          <w:bottom w:val="single" w:sz="4" w:space="0" w:color="497B5A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A58BB" w:rsidRPr="0053547C" w:rsidRDefault="003A58BB" w:rsidP="0053547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53547C">
                          <w:rPr>
                            <w:rFonts w:eastAsia="Times New Roman" w:cs="Times New Roman"/>
                            <w:color w:val="FF0000"/>
                            <w:sz w:val="16"/>
                            <w:szCs w:val="16"/>
                            <w:lang w:val="fr-FR" w:eastAsia="fr-FR"/>
                          </w:rPr>
                          <w:t>-16,0%</w:t>
                        </w:r>
                      </w:p>
                    </w:tc>
                  </w:tr>
                </w:tbl>
                <w:p w:rsidR="003A58BB" w:rsidRPr="0053547C" w:rsidRDefault="003A58BB" w:rsidP="0053547C"/>
              </w:txbxContent>
            </v:textbox>
          </v:shape>
        </w:pict>
      </w:r>
      <w:r w:rsidR="00E34288"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</w:t>
      </w:r>
    </w:p>
    <w:p w:rsidR="00DE22F1" w:rsidRDefault="00E34288" w:rsidP="00E34288">
      <w:pPr>
        <w:pStyle w:val="Corpsdetexte"/>
        <w:ind w:left="-212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</w:t>
      </w: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p w:rsidR="00E83ED8" w:rsidRDefault="00E83ED8" w:rsidP="00E34288">
      <w:pPr>
        <w:pStyle w:val="Corpsdetexte"/>
        <w:ind w:left="-2127"/>
        <w:rPr>
          <w:sz w:val="24"/>
          <w:szCs w:val="24"/>
          <w:lang w:val="fr-FR"/>
        </w:rPr>
      </w:pPr>
    </w:p>
    <w:sectPr w:rsidR="00E83ED8" w:rsidSect="006444D1">
      <w:headerReference w:type="even" r:id="rId10"/>
      <w:headerReference w:type="default" r:id="rId11"/>
      <w:footerReference w:type="default" r:id="rId12"/>
      <w:type w:val="continuous"/>
      <w:pgSz w:w="16839" w:h="11907" w:orient="landscape" w:code="9"/>
      <w:pgMar w:top="567" w:right="1440" w:bottom="567" w:left="2977" w:header="284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8BB" w:rsidRDefault="003A58BB" w:rsidP="000B1EB8">
      <w:pPr>
        <w:spacing w:after="0" w:line="240" w:lineRule="auto"/>
      </w:pPr>
      <w:r>
        <w:separator/>
      </w:r>
    </w:p>
  </w:endnote>
  <w:endnote w:type="continuationSeparator" w:id="1">
    <w:p w:rsidR="003A58BB" w:rsidRDefault="003A58BB" w:rsidP="000B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BB" w:rsidRPr="00607051" w:rsidRDefault="003A58BB" w:rsidP="00D31BC5">
    <w:pPr>
      <w:pStyle w:val="Pieddepage"/>
      <w:jc w:val="right"/>
      <w:rPr>
        <w:color w:val="FFFFFF"/>
        <w:sz w:val="18"/>
        <w:szCs w:val="18"/>
        <w:lang w:val="fr-FR"/>
      </w:rPr>
    </w:pPr>
    <w:r w:rsidRPr="00EF3AF0">
      <w:rPr>
        <w:b/>
        <w:noProof/>
        <w:color w:val="FFC000"/>
        <w:sz w:val="24"/>
        <w:szCs w:val="24"/>
        <w:lang w:val="fr-FR" w:eastAsia="fr-FR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8" type="#_x0000_t176" style="position:absolute;left:0;text-align:left;margin-left:-80.25pt;margin-top:-4.8pt;width:398.25pt;height:45.35pt;z-index:251659776;mso-width-relative:margin;mso-height-relative:margin" stroked="f">
          <v:fill opacity="9830f"/>
          <v:textbox style="mso-next-textbox:#_x0000_s2058">
            <w:txbxContent>
              <w:p w:rsidR="003A58BB" w:rsidRPr="002A19EA" w:rsidRDefault="003A58BB" w:rsidP="00992225">
                <w:pPr>
                  <w:spacing w:after="0" w:line="240" w:lineRule="auto"/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</w:pPr>
                <w:r w:rsidRPr="002A19EA"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Département « Analyse &amp; Ingénierie Financières » </w:t>
                </w:r>
                <w:r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                            </w:t>
                </w:r>
              </w:p>
              <w:p w:rsidR="003A58BB" w:rsidRPr="002A19EA" w:rsidRDefault="003A58BB" w:rsidP="00992225">
                <w:pPr>
                  <w:spacing w:after="0" w:line="240" w:lineRule="auto"/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</w:pPr>
                <w:r w:rsidRPr="002A19EA"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E‐mail : </w:t>
                </w:r>
                <w:r w:rsidRPr="00D31BC5"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>analystes@bnacapitaux.com.tn</w:t>
                </w:r>
                <w:r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                                                 </w:t>
                </w:r>
              </w:p>
              <w:p w:rsidR="003A58BB" w:rsidRPr="002A19EA" w:rsidRDefault="003A58BB" w:rsidP="00992225">
                <w:pPr>
                  <w:spacing w:after="0" w:line="240" w:lineRule="auto"/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</w:pPr>
                <w:r w:rsidRPr="002A19EA"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Tél : (+216) 71 139 500 </w:t>
                </w:r>
                <w:r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 xml:space="preserve">       </w:t>
                </w:r>
                <w:r w:rsidRPr="002A19EA"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>Fax: (+216) 71</w:t>
                </w:r>
                <w:r>
                  <w:rPr>
                    <w:rFonts w:cs="Calibri"/>
                    <w:b/>
                    <w:color w:val="FFFFFF"/>
                    <w:sz w:val="18"/>
                    <w:szCs w:val="18"/>
                    <w:lang w:val="fr-FR"/>
                  </w:rPr>
                  <w:t> 656 299</w:t>
                </w:r>
              </w:p>
              <w:p w:rsidR="003A58BB" w:rsidRPr="00992225" w:rsidRDefault="003A58BB" w:rsidP="00992225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b/>
        <w:noProof/>
        <w:color w:val="FFC000"/>
        <w:sz w:val="24"/>
        <w:szCs w:val="24"/>
        <w:lang w:val="fr-FR"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-1614805</wp:posOffset>
          </wp:positionH>
          <wp:positionV relativeFrom="paragraph">
            <wp:posOffset>3810</wp:posOffset>
          </wp:positionV>
          <wp:extent cx="485140" cy="511175"/>
          <wp:effectExtent l="19050" t="0" r="0" b="0"/>
          <wp:wrapNone/>
          <wp:docPr id="7" name="Image 7" descr="logo_b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bn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1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lang w:val="fr-FR" w:eastAsia="fr-F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-1897380</wp:posOffset>
          </wp:positionH>
          <wp:positionV relativeFrom="paragraph">
            <wp:posOffset>-120015</wp:posOffset>
          </wp:positionV>
          <wp:extent cx="10820400" cy="948690"/>
          <wp:effectExtent l="19050" t="0" r="0" b="0"/>
          <wp:wrapNone/>
          <wp:docPr id="2" name="Image 2" descr="footer_graphic_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graphic_bi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09E3">
      <w:rPr>
        <w:color w:val="FFFFFF"/>
        <w:lang w:val="fr-FR"/>
      </w:rPr>
      <w:tab/>
    </w:r>
    <w:r>
      <w:rPr>
        <w:color w:val="FFFFFF"/>
        <w:lang w:val="fr-FR"/>
      </w:rPr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8BB" w:rsidRDefault="003A58BB" w:rsidP="000B1EB8">
      <w:pPr>
        <w:spacing w:after="0" w:line="240" w:lineRule="auto"/>
      </w:pPr>
      <w:r>
        <w:separator/>
      </w:r>
    </w:p>
  </w:footnote>
  <w:footnote w:type="continuationSeparator" w:id="1">
    <w:p w:rsidR="003A58BB" w:rsidRDefault="003A58BB" w:rsidP="000B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BB" w:rsidRDefault="003A58B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8BB" w:rsidRDefault="003A58BB" w:rsidP="0053547C">
    <w:pPr>
      <w:pStyle w:val="En-tte"/>
      <w:tabs>
        <w:tab w:val="clear" w:pos="9360"/>
        <w:tab w:val="right" w:pos="9781"/>
      </w:tabs>
      <w:spacing w:after="0"/>
      <w:rPr>
        <w:b/>
        <w:noProof/>
        <w:color w:val="FFC000"/>
        <w:sz w:val="32"/>
        <w:szCs w:val="32"/>
        <w:lang w:val="fr-FR" w:eastAsia="fr-FR"/>
      </w:rPr>
    </w:pPr>
    <w:r w:rsidRPr="00636F77">
      <w:rPr>
        <w:b/>
        <w:noProof/>
        <w:color w:val="FFC000"/>
        <w:sz w:val="32"/>
        <w:szCs w:val="32"/>
        <w:lang w:val="fr-FR"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-1897380</wp:posOffset>
          </wp:positionH>
          <wp:positionV relativeFrom="paragraph">
            <wp:posOffset>-478155</wp:posOffset>
          </wp:positionV>
          <wp:extent cx="10782300" cy="1073785"/>
          <wp:effectExtent l="19050" t="0" r="0" b="0"/>
          <wp:wrapNone/>
          <wp:docPr id="5" name="Image 5" descr="header_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_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0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6F77">
      <w:rPr>
        <w:b/>
        <w:noProof/>
        <w:color w:val="FFC000"/>
        <w:sz w:val="32"/>
        <w:szCs w:val="32"/>
        <w:lang w:val="fr-FR" w:eastAsia="fr-FR"/>
      </w:rPr>
      <w:t>Physionomie bou</w:t>
    </w:r>
    <w:r w:rsidR="00EE58C8">
      <w:rPr>
        <w:b/>
        <w:noProof/>
        <w:color w:val="FFC000"/>
        <w:sz w:val="32"/>
        <w:szCs w:val="32"/>
        <w:lang w:val="fr-FR" w:eastAsia="fr-FR"/>
      </w:rPr>
      <w:t>rsière de la semaine du  19 au 23</w:t>
    </w:r>
    <w:r>
      <w:rPr>
        <w:b/>
        <w:noProof/>
        <w:color w:val="FFC000"/>
        <w:sz w:val="32"/>
        <w:szCs w:val="32"/>
        <w:lang w:val="fr-FR" w:eastAsia="fr-FR"/>
      </w:rPr>
      <w:t xml:space="preserve"> octo</w:t>
    </w:r>
    <w:r w:rsidRPr="00636F77">
      <w:rPr>
        <w:b/>
        <w:noProof/>
        <w:color w:val="FFC000"/>
        <w:sz w:val="32"/>
        <w:szCs w:val="32"/>
        <w:lang w:val="fr-FR" w:eastAsia="fr-FR"/>
      </w:rPr>
      <w:t xml:space="preserve">bre  2015 </w:t>
    </w:r>
  </w:p>
  <w:p w:rsidR="003A58BB" w:rsidRPr="00636F77" w:rsidRDefault="003A58BB" w:rsidP="00636F77">
    <w:pPr>
      <w:pStyle w:val="En-tte"/>
      <w:tabs>
        <w:tab w:val="clear" w:pos="9360"/>
        <w:tab w:val="right" w:pos="9781"/>
      </w:tabs>
      <w:spacing w:after="0"/>
      <w:rPr>
        <w:b/>
        <w:noProof/>
        <w:color w:val="FFC000"/>
        <w:sz w:val="32"/>
        <w:szCs w:val="32"/>
        <w:lang w:val="fr-FR" w:eastAsia="fr-FR"/>
      </w:rPr>
    </w:pPr>
  </w:p>
  <w:p w:rsidR="003A58BB" w:rsidRPr="005853DC" w:rsidRDefault="003A58BB" w:rsidP="00E007E8">
    <w:pPr>
      <w:pStyle w:val="En-tte"/>
      <w:tabs>
        <w:tab w:val="clear" w:pos="9360"/>
        <w:tab w:val="right" w:pos="9781"/>
      </w:tabs>
      <w:spacing w:after="0"/>
      <w:jc w:val="center"/>
      <w:rPr>
        <w:b/>
        <w:color w:val="FFC000"/>
        <w:sz w:val="32"/>
        <w:szCs w:val="32"/>
        <w:lang w:val="fr-FR"/>
      </w:rPr>
    </w:pPr>
    <w:r>
      <w:rPr>
        <w:b/>
        <w:noProof/>
        <w:color w:val="FFC000"/>
        <w:sz w:val="32"/>
        <w:szCs w:val="32"/>
        <w:lang w:val="fr-FR"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-411480</wp:posOffset>
          </wp:positionH>
          <wp:positionV relativeFrom="paragraph">
            <wp:posOffset>310515</wp:posOffset>
          </wp:positionV>
          <wp:extent cx="7783195" cy="10000615"/>
          <wp:effectExtent l="19050" t="0" r="8255" b="0"/>
          <wp:wrapNone/>
          <wp:docPr id="4" name="Image 4" descr="bcg_filigr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cg_filigra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0000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53DC">
      <w:rPr>
        <w:b/>
        <w:color w:val="FFC000"/>
        <w:sz w:val="32"/>
        <w:szCs w:val="32"/>
        <w:lang w:val="fr-FR"/>
      </w:rPr>
      <w:t xml:space="preserve">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69E"/>
    <w:multiLevelType w:val="hybridMultilevel"/>
    <w:tmpl w:val="176CD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672FD"/>
    <w:multiLevelType w:val="hybridMultilevel"/>
    <w:tmpl w:val="9C90CEF4"/>
    <w:lvl w:ilvl="0" w:tplc="FDDC642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F7E0E"/>
    <w:multiLevelType w:val="hybridMultilevel"/>
    <w:tmpl w:val="86143E12"/>
    <w:lvl w:ilvl="0" w:tplc="B7DCF2C6">
      <w:start w:val="2"/>
      <w:numFmt w:val="bullet"/>
      <w:lvlText w:val=""/>
      <w:lvlJc w:val="left"/>
      <w:pPr>
        <w:ind w:left="72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BF6"/>
    <w:multiLevelType w:val="hybridMultilevel"/>
    <w:tmpl w:val="1018BE36"/>
    <w:lvl w:ilvl="0" w:tplc="A82C4A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60A0C"/>
    <w:multiLevelType w:val="hybridMultilevel"/>
    <w:tmpl w:val="00807DB6"/>
    <w:lvl w:ilvl="0" w:tplc="12ACC74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57C50"/>
    <w:multiLevelType w:val="hybridMultilevel"/>
    <w:tmpl w:val="5DFCE04C"/>
    <w:lvl w:ilvl="0" w:tplc="4F96B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F7CE9"/>
    <w:multiLevelType w:val="hybridMultilevel"/>
    <w:tmpl w:val="6E74CC8A"/>
    <w:lvl w:ilvl="0" w:tplc="B7DCF2C6">
      <w:start w:val="2"/>
      <w:numFmt w:val="bullet"/>
      <w:lvlText w:val=""/>
      <w:lvlJc w:val="left"/>
      <w:pPr>
        <w:ind w:left="216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58700C1"/>
    <w:multiLevelType w:val="hybridMultilevel"/>
    <w:tmpl w:val="3E6AFB18"/>
    <w:lvl w:ilvl="0" w:tplc="198A1A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4C5C56"/>
    <w:multiLevelType w:val="hybridMultilevel"/>
    <w:tmpl w:val="30D84DBE"/>
    <w:lvl w:ilvl="0" w:tplc="031CC6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D1DC4"/>
    <w:multiLevelType w:val="hybridMultilevel"/>
    <w:tmpl w:val="5EEE5A68"/>
    <w:lvl w:ilvl="0" w:tplc="B7DCF2C6">
      <w:start w:val="2"/>
      <w:numFmt w:val="bullet"/>
      <w:lvlText w:val=""/>
      <w:lvlJc w:val="left"/>
      <w:pPr>
        <w:ind w:left="288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0EB1922"/>
    <w:multiLevelType w:val="hybridMultilevel"/>
    <w:tmpl w:val="EBAE2B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F7840"/>
    <w:multiLevelType w:val="hybridMultilevel"/>
    <w:tmpl w:val="FAEA7484"/>
    <w:lvl w:ilvl="0" w:tplc="B7DCF2C6">
      <w:start w:val="2"/>
      <w:numFmt w:val="bullet"/>
      <w:lvlText w:val=""/>
      <w:lvlJc w:val="left"/>
      <w:pPr>
        <w:ind w:left="288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9D5788F"/>
    <w:multiLevelType w:val="hybridMultilevel"/>
    <w:tmpl w:val="D2465CA6"/>
    <w:lvl w:ilvl="0" w:tplc="3468D0D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7411E"/>
    <w:multiLevelType w:val="hybridMultilevel"/>
    <w:tmpl w:val="15024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B3DE4"/>
    <w:multiLevelType w:val="hybridMultilevel"/>
    <w:tmpl w:val="A1F6FA90"/>
    <w:lvl w:ilvl="0" w:tplc="7760413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A4C4B"/>
    <w:multiLevelType w:val="hybridMultilevel"/>
    <w:tmpl w:val="FAE27074"/>
    <w:lvl w:ilvl="0" w:tplc="3FA27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B6AE3"/>
    <w:multiLevelType w:val="hybridMultilevel"/>
    <w:tmpl w:val="A46684CA"/>
    <w:lvl w:ilvl="0" w:tplc="6F3E3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A5006"/>
    <w:multiLevelType w:val="hybridMultilevel"/>
    <w:tmpl w:val="13D065DA"/>
    <w:lvl w:ilvl="0" w:tplc="9D30DA7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260F6"/>
    <w:multiLevelType w:val="hybridMultilevel"/>
    <w:tmpl w:val="0344BB36"/>
    <w:lvl w:ilvl="0" w:tplc="7DBE7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B147F"/>
    <w:multiLevelType w:val="hybridMultilevel"/>
    <w:tmpl w:val="B9C8E4E4"/>
    <w:lvl w:ilvl="0" w:tplc="712ACB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166BA"/>
    <w:multiLevelType w:val="hybridMultilevel"/>
    <w:tmpl w:val="05EA26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121FB"/>
    <w:multiLevelType w:val="hybridMultilevel"/>
    <w:tmpl w:val="A42803B0"/>
    <w:lvl w:ilvl="0" w:tplc="B7DCF2C6">
      <w:start w:val="2"/>
      <w:numFmt w:val="bullet"/>
      <w:lvlText w:val=""/>
      <w:lvlJc w:val="left"/>
      <w:pPr>
        <w:ind w:left="288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37735BC"/>
    <w:multiLevelType w:val="hybridMultilevel"/>
    <w:tmpl w:val="C7AE09CA"/>
    <w:lvl w:ilvl="0" w:tplc="29C00128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20A91"/>
    <w:multiLevelType w:val="hybridMultilevel"/>
    <w:tmpl w:val="FAE27074"/>
    <w:lvl w:ilvl="0" w:tplc="3FA27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737DA"/>
    <w:multiLevelType w:val="hybridMultilevel"/>
    <w:tmpl w:val="892A9738"/>
    <w:lvl w:ilvl="0" w:tplc="E3A030F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3138E"/>
    <w:multiLevelType w:val="hybridMultilevel"/>
    <w:tmpl w:val="FAE27074"/>
    <w:lvl w:ilvl="0" w:tplc="3FA27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B64F7"/>
    <w:multiLevelType w:val="hybridMultilevel"/>
    <w:tmpl w:val="90C0A532"/>
    <w:lvl w:ilvl="0" w:tplc="953E06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814D2"/>
    <w:multiLevelType w:val="hybridMultilevel"/>
    <w:tmpl w:val="FFC02D60"/>
    <w:lvl w:ilvl="0" w:tplc="B7DCF2C6">
      <w:start w:val="2"/>
      <w:numFmt w:val="bullet"/>
      <w:lvlText w:val=""/>
      <w:lvlJc w:val="left"/>
      <w:pPr>
        <w:ind w:left="2880" w:hanging="360"/>
      </w:pPr>
      <w:rPr>
        <w:rFonts w:ascii="Wingdings 3" w:eastAsia="SimSu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46A020E"/>
    <w:multiLevelType w:val="hybridMultilevel"/>
    <w:tmpl w:val="CAD29674"/>
    <w:lvl w:ilvl="0" w:tplc="C7A6D736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E3986"/>
    <w:multiLevelType w:val="multilevel"/>
    <w:tmpl w:val="16C6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096933"/>
    <w:multiLevelType w:val="hybridMultilevel"/>
    <w:tmpl w:val="708E71E4"/>
    <w:lvl w:ilvl="0" w:tplc="327E8358">
      <w:start w:val="5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24944"/>
    <w:multiLevelType w:val="hybridMultilevel"/>
    <w:tmpl w:val="E6723F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C4FC7"/>
    <w:multiLevelType w:val="hybridMultilevel"/>
    <w:tmpl w:val="0C9B42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75A7FE1"/>
    <w:multiLevelType w:val="hybridMultilevel"/>
    <w:tmpl w:val="068A4670"/>
    <w:lvl w:ilvl="0" w:tplc="FF8C41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168FA"/>
    <w:multiLevelType w:val="hybridMultilevel"/>
    <w:tmpl w:val="59603D34"/>
    <w:lvl w:ilvl="0" w:tplc="EC9CA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F618D"/>
    <w:multiLevelType w:val="hybridMultilevel"/>
    <w:tmpl w:val="29FC1F70"/>
    <w:lvl w:ilvl="0" w:tplc="A308F3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9"/>
  </w:num>
  <w:num w:numId="8">
    <w:abstractNumId w:val="27"/>
  </w:num>
  <w:num w:numId="9">
    <w:abstractNumId w:val="24"/>
  </w:num>
  <w:num w:numId="10">
    <w:abstractNumId w:val="31"/>
  </w:num>
  <w:num w:numId="11">
    <w:abstractNumId w:val="10"/>
  </w:num>
  <w:num w:numId="12">
    <w:abstractNumId w:val="7"/>
  </w:num>
  <w:num w:numId="13">
    <w:abstractNumId w:val="30"/>
  </w:num>
  <w:num w:numId="14">
    <w:abstractNumId w:val="33"/>
  </w:num>
  <w:num w:numId="15">
    <w:abstractNumId w:val="13"/>
  </w:num>
  <w:num w:numId="16">
    <w:abstractNumId w:val="15"/>
  </w:num>
  <w:num w:numId="17">
    <w:abstractNumId w:val="23"/>
  </w:num>
  <w:num w:numId="18">
    <w:abstractNumId w:val="25"/>
  </w:num>
  <w:num w:numId="19">
    <w:abstractNumId w:val="16"/>
  </w:num>
  <w:num w:numId="20">
    <w:abstractNumId w:val="32"/>
  </w:num>
  <w:num w:numId="21">
    <w:abstractNumId w:val="28"/>
  </w:num>
  <w:num w:numId="22">
    <w:abstractNumId w:val="35"/>
  </w:num>
  <w:num w:numId="23">
    <w:abstractNumId w:val="19"/>
  </w:num>
  <w:num w:numId="24">
    <w:abstractNumId w:val="26"/>
  </w:num>
  <w:num w:numId="25">
    <w:abstractNumId w:val="0"/>
  </w:num>
  <w:num w:numId="26">
    <w:abstractNumId w:val="22"/>
  </w:num>
  <w:num w:numId="27">
    <w:abstractNumId w:val="20"/>
  </w:num>
  <w:num w:numId="28">
    <w:abstractNumId w:val="18"/>
  </w:num>
  <w:num w:numId="29">
    <w:abstractNumId w:val="5"/>
  </w:num>
  <w:num w:numId="30">
    <w:abstractNumId w:val="1"/>
  </w:num>
  <w:num w:numId="31">
    <w:abstractNumId w:val="3"/>
  </w:num>
  <w:num w:numId="32">
    <w:abstractNumId w:val="34"/>
  </w:num>
  <w:num w:numId="33">
    <w:abstractNumId w:val="17"/>
  </w:num>
  <w:num w:numId="34">
    <w:abstractNumId w:val="8"/>
  </w:num>
  <w:num w:numId="35">
    <w:abstractNumId w:val="29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7068"/>
    <w:rsid w:val="000002DC"/>
    <w:rsid w:val="0000202D"/>
    <w:rsid w:val="00005D25"/>
    <w:rsid w:val="00010361"/>
    <w:rsid w:val="00011F3E"/>
    <w:rsid w:val="00012131"/>
    <w:rsid w:val="000148B1"/>
    <w:rsid w:val="00014E06"/>
    <w:rsid w:val="00015E0A"/>
    <w:rsid w:val="00016127"/>
    <w:rsid w:val="00016EAA"/>
    <w:rsid w:val="00020FBB"/>
    <w:rsid w:val="00022274"/>
    <w:rsid w:val="00022C6E"/>
    <w:rsid w:val="00022EC0"/>
    <w:rsid w:val="00023ADE"/>
    <w:rsid w:val="00024499"/>
    <w:rsid w:val="00024E45"/>
    <w:rsid w:val="0003521D"/>
    <w:rsid w:val="0003750C"/>
    <w:rsid w:val="00037A87"/>
    <w:rsid w:val="0004014F"/>
    <w:rsid w:val="000430D0"/>
    <w:rsid w:val="00043C43"/>
    <w:rsid w:val="000455C7"/>
    <w:rsid w:val="00045D38"/>
    <w:rsid w:val="00046AF1"/>
    <w:rsid w:val="000547D7"/>
    <w:rsid w:val="00055677"/>
    <w:rsid w:val="000575A4"/>
    <w:rsid w:val="00060932"/>
    <w:rsid w:val="00062DEE"/>
    <w:rsid w:val="00071C8B"/>
    <w:rsid w:val="00076288"/>
    <w:rsid w:val="0007719F"/>
    <w:rsid w:val="0007757C"/>
    <w:rsid w:val="00080A87"/>
    <w:rsid w:val="00080AE5"/>
    <w:rsid w:val="00081E2B"/>
    <w:rsid w:val="0008227E"/>
    <w:rsid w:val="00083FD4"/>
    <w:rsid w:val="00084030"/>
    <w:rsid w:val="00084E12"/>
    <w:rsid w:val="00091047"/>
    <w:rsid w:val="00091D0C"/>
    <w:rsid w:val="00093EB7"/>
    <w:rsid w:val="000967A3"/>
    <w:rsid w:val="000A0E9B"/>
    <w:rsid w:val="000A2CA9"/>
    <w:rsid w:val="000A3270"/>
    <w:rsid w:val="000A4E17"/>
    <w:rsid w:val="000A58E3"/>
    <w:rsid w:val="000A7AE5"/>
    <w:rsid w:val="000B1A6F"/>
    <w:rsid w:val="000B1C0C"/>
    <w:rsid w:val="000B1EB8"/>
    <w:rsid w:val="000B2DA3"/>
    <w:rsid w:val="000B52B7"/>
    <w:rsid w:val="000B701F"/>
    <w:rsid w:val="000C1D88"/>
    <w:rsid w:val="000C3AAB"/>
    <w:rsid w:val="000C5049"/>
    <w:rsid w:val="000C6E62"/>
    <w:rsid w:val="000E26F6"/>
    <w:rsid w:val="000E2CE2"/>
    <w:rsid w:val="000E7EE0"/>
    <w:rsid w:val="000F0315"/>
    <w:rsid w:val="000F29BC"/>
    <w:rsid w:val="000F2CDD"/>
    <w:rsid w:val="001025F1"/>
    <w:rsid w:val="001031BF"/>
    <w:rsid w:val="00105A5D"/>
    <w:rsid w:val="00107C27"/>
    <w:rsid w:val="00107DFC"/>
    <w:rsid w:val="00112CE0"/>
    <w:rsid w:val="00112E5A"/>
    <w:rsid w:val="001138C5"/>
    <w:rsid w:val="0011530E"/>
    <w:rsid w:val="00115765"/>
    <w:rsid w:val="00115C52"/>
    <w:rsid w:val="0011681F"/>
    <w:rsid w:val="00116BA8"/>
    <w:rsid w:val="001215DC"/>
    <w:rsid w:val="00121BEA"/>
    <w:rsid w:val="00122732"/>
    <w:rsid w:val="00122EF2"/>
    <w:rsid w:val="00123D33"/>
    <w:rsid w:val="001247A8"/>
    <w:rsid w:val="00125FB5"/>
    <w:rsid w:val="0012647A"/>
    <w:rsid w:val="00131BDF"/>
    <w:rsid w:val="00132A2C"/>
    <w:rsid w:val="001355D3"/>
    <w:rsid w:val="001408C3"/>
    <w:rsid w:val="00144572"/>
    <w:rsid w:val="00145D06"/>
    <w:rsid w:val="0014622F"/>
    <w:rsid w:val="001464F0"/>
    <w:rsid w:val="0014716D"/>
    <w:rsid w:val="0014764B"/>
    <w:rsid w:val="00147822"/>
    <w:rsid w:val="00150006"/>
    <w:rsid w:val="001577BD"/>
    <w:rsid w:val="00157E77"/>
    <w:rsid w:val="001600C6"/>
    <w:rsid w:val="00163588"/>
    <w:rsid w:val="001637A1"/>
    <w:rsid w:val="00165167"/>
    <w:rsid w:val="00166511"/>
    <w:rsid w:val="001709F6"/>
    <w:rsid w:val="001833B9"/>
    <w:rsid w:val="00186521"/>
    <w:rsid w:val="00193B70"/>
    <w:rsid w:val="00194B98"/>
    <w:rsid w:val="00195960"/>
    <w:rsid w:val="0019614A"/>
    <w:rsid w:val="00196CA5"/>
    <w:rsid w:val="001A2CC0"/>
    <w:rsid w:val="001A3A49"/>
    <w:rsid w:val="001A4557"/>
    <w:rsid w:val="001A457E"/>
    <w:rsid w:val="001A6E08"/>
    <w:rsid w:val="001A7E47"/>
    <w:rsid w:val="001B2EF4"/>
    <w:rsid w:val="001B31D0"/>
    <w:rsid w:val="001B5EA0"/>
    <w:rsid w:val="001B7DEB"/>
    <w:rsid w:val="001C48EE"/>
    <w:rsid w:val="001C4AAE"/>
    <w:rsid w:val="001C5038"/>
    <w:rsid w:val="001C6350"/>
    <w:rsid w:val="001D0A56"/>
    <w:rsid w:val="001D4504"/>
    <w:rsid w:val="001D5A6E"/>
    <w:rsid w:val="001D702A"/>
    <w:rsid w:val="001D7615"/>
    <w:rsid w:val="001E1243"/>
    <w:rsid w:val="001E345E"/>
    <w:rsid w:val="001F0EE0"/>
    <w:rsid w:val="001F27FE"/>
    <w:rsid w:val="001F3E6A"/>
    <w:rsid w:val="001F456C"/>
    <w:rsid w:val="001F4D07"/>
    <w:rsid w:val="001F62EE"/>
    <w:rsid w:val="001F6C0A"/>
    <w:rsid w:val="001F7068"/>
    <w:rsid w:val="00200052"/>
    <w:rsid w:val="0020373B"/>
    <w:rsid w:val="00205124"/>
    <w:rsid w:val="002053BA"/>
    <w:rsid w:val="00207682"/>
    <w:rsid w:val="00207EA1"/>
    <w:rsid w:val="00211383"/>
    <w:rsid w:val="00211438"/>
    <w:rsid w:val="00211A86"/>
    <w:rsid w:val="00212DDA"/>
    <w:rsid w:val="00214947"/>
    <w:rsid w:val="0021497C"/>
    <w:rsid w:val="00216492"/>
    <w:rsid w:val="002165AA"/>
    <w:rsid w:val="002168E1"/>
    <w:rsid w:val="00224C0C"/>
    <w:rsid w:val="0023245A"/>
    <w:rsid w:val="00232D7C"/>
    <w:rsid w:val="00234775"/>
    <w:rsid w:val="002355E2"/>
    <w:rsid w:val="00236FE8"/>
    <w:rsid w:val="00240240"/>
    <w:rsid w:val="00242E63"/>
    <w:rsid w:val="00244E8F"/>
    <w:rsid w:val="00247836"/>
    <w:rsid w:val="00247FBF"/>
    <w:rsid w:val="002518BF"/>
    <w:rsid w:val="00251C52"/>
    <w:rsid w:val="002604DB"/>
    <w:rsid w:val="002625CD"/>
    <w:rsid w:val="00262C36"/>
    <w:rsid w:val="00263683"/>
    <w:rsid w:val="0026477B"/>
    <w:rsid w:val="00264BD5"/>
    <w:rsid w:val="0027073F"/>
    <w:rsid w:val="0027080C"/>
    <w:rsid w:val="00270F43"/>
    <w:rsid w:val="002711B7"/>
    <w:rsid w:val="002717F5"/>
    <w:rsid w:val="0027195B"/>
    <w:rsid w:val="0027251C"/>
    <w:rsid w:val="00275361"/>
    <w:rsid w:val="00277003"/>
    <w:rsid w:val="00277ADF"/>
    <w:rsid w:val="002801D6"/>
    <w:rsid w:val="00281F5E"/>
    <w:rsid w:val="00283F5C"/>
    <w:rsid w:val="0028722E"/>
    <w:rsid w:val="0029365F"/>
    <w:rsid w:val="002938BB"/>
    <w:rsid w:val="00294130"/>
    <w:rsid w:val="002941B6"/>
    <w:rsid w:val="002949CE"/>
    <w:rsid w:val="00297EF5"/>
    <w:rsid w:val="002A3BB9"/>
    <w:rsid w:val="002A47C1"/>
    <w:rsid w:val="002A5934"/>
    <w:rsid w:val="002A6BBB"/>
    <w:rsid w:val="002B33D8"/>
    <w:rsid w:val="002C0078"/>
    <w:rsid w:val="002C0F92"/>
    <w:rsid w:val="002C3BC1"/>
    <w:rsid w:val="002C40EA"/>
    <w:rsid w:val="002C4145"/>
    <w:rsid w:val="002C5298"/>
    <w:rsid w:val="002D1CA2"/>
    <w:rsid w:val="002D4A93"/>
    <w:rsid w:val="002D5987"/>
    <w:rsid w:val="002F124A"/>
    <w:rsid w:val="002F1C5B"/>
    <w:rsid w:val="002F6911"/>
    <w:rsid w:val="002F7637"/>
    <w:rsid w:val="00300C44"/>
    <w:rsid w:val="00302B47"/>
    <w:rsid w:val="00304B44"/>
    <w:rsid w:val="0030632F"/>
    <w:rsid w:val="00310618"/>
    <w:rsid w:val="003160F8"/>
    <w:rsid w:val="003207BC"/>
    <w:rsid w:val="00320FE2"/>
    <w:rsid w:val="0032240F"/>
    <w:rsid w:val="00323483"/>
    <w:rsid w:val="00323906"/>
    <w:rsid w:val="003246A5"/>
    <w:rsid w:val="0032526E"/>
    <w:rsid w:val="00327454"/>
    <w:rsid w:val="003304F1"/>
    <w:rsid w:val="003309E4"/>
    <w:rsid w:val="00330E1F"/>
    <w:rsid w:val="0033273C"/>
    <w:rsid w:val="003341AC"/>
    <w:rsid w:val="00335906"/>
    <w:rsid w:val="00336826"/>
    <w:rsid w:val="003372DE"/>
    <w:rsid w:val="003442D5"/>
    <w:rsid w:val="00351E4D"/>
    <w:rsid w:val="0036342B"/>
    <w:rsid w:val="00364BEA"/>
    <w:rsid w:val="003652E0"/>
    <w:rsid w:val="00365790"/>
    <w:rsid w:val="00366EC5"/>
    <w:rsid w:val="00367630"/>
    <w:rsid w:val="00371FAC"/>
    <w:rsid w:val="00372881"/>
    <w:rsid w:val="003743D6"/>
    <w:rsid w:val="00381110"/>
    <w:rsid w:val="00383006"/>
    <w:rsid w:val="00386E12"/>
    <w:rsid w:val="00387804"/>
    <w:rsid w:val="003878A8"/>
    <w:rsid w:val="00390F7E"/>
    <w:rsid w:val="0039467A"/>
    <w:rsid w:val="00397C29"/>
    <w:rsid w:val="003A2BA2"/>
    <w:rsid w:val="003A39D4"/>
    <w:rsid w:val="003A3B8C"/>
    <w:rsid w:val="003A3CC4"/>
    <w:rsid w:val="003A4011"/>
    <w:rsid w:val="003A460A"/>
    <w:rsid w:val="003A58BB"/>
    <w:rsid w:val="003B023D"/>
    <w:rsid w:val="003B195C"/>
    <w:rsid w:val="003B20C9"/>
    <w:rsid w:val="003B2C30"/>
    <w:rsid w:val="003B3BCC"/>
    <w:rsid w:val="003B6317"/>
    <w:rsid w:val="003B64FF"/>
    <w:rsid w:val="003B71F0"/>
    <w:rsid w:val="003B7480"/>
    <w:rsid w:val="003C07BA"/>
    <w:rsid w:val="003C08AF"/>
    <w:rsid w:val="003C09A3"/>
    <w:rsid w:val="003C204E"/>
    <w:rsid w:val="003C3E1D"/>
    <w:rsid w:val="003C5379"/>
    <w:rsid w:val="003C57BC"/>
    <w:rsid w:val="003C62FC"/>
    <w:rsid w:val="003D014C"/>
    <w:rsid w:val="003D0650"/>
    <w:rsid w:val="003D196C"/>
    <w:rsid w:val="003D2457"/>
    <w:rsid w:val="003D405C"/>
    <w:rsid w:val="003E030B"/>
    <w:rsid w:val="003E2616"/>
    <w:rsid w:val="003E433D"/>
    <w:rsid w:val="003F0CC7"/>
    <w:rsid w:val="003F1333"/>
    <w:rsid w:val="003F27FC"/>
    <w:rsid w:val="00400929"/>
    <w:rsid w:val="00402C66"/>
    <w:rsid w:val="00403E66"/>
    <w:rsid w:val="00410F27"/>
    <w:rsid w:val="00412302"/>
    <w:rsid w:val="00412603"/>
    <w:rsid w:val="0041620A"/>
    <w:rsid w:val="00416D6E"/>
    <w:rsid w:val="004175CA"/>
    <w:rsid w:val="004218B9"/>
    <w:rsid w:val="00424A5F"/>
    <w:rsid w:val="00425BC3"/>
    <w:rsid w:val="00425E86"/>
    <w:rsid w:val="00431B8F"/>
    <w:rsid w:val="00435010"/>
    <w:rsid w:val="0043678C"/>
    <w:rsid w:val="00437D1C"/>
    <w:rsid w:val="0044165A"/>
    <w:rsid w:val="0044230B"/>
    <w:rsid w:val="004438F9"/>
    <w:rsid w:val="00443D37"/>
    <w:rsid w:val="00444418"/>
    <w:rsid w:val="0044710A"/>
    <w:rsid w:val="0045140D"/>
    <w:rsid w:val="00451896"/>
    <w:rsid w:val="00456640"/>
    <w:rsid w:val="00460583"/>
    <w:rsid w:val="004678BE"/>
    <w:rsid w:val="00470FBD"/>
    <w:rsid w:val="00471AF9"/>
    <w:rsid w:val="0047597C"/>
    <w:rsid w:val="00476F85"/>
    <w:rsid w:val="00480AD9"/>
    <w:rsid w:val="00481503"/>
    <w:rsid w:val="004822BE"/>
    <w:rsid w:val="0048281D"/>
    <w:rsid w:val="00482E6B"/>
    <w:rsid w:val="00483807"/>
    <w:rsid w:val="00484A9B"/>
    <w:rsid w:val="00485DD0"/>
    <w:rsid w:val="00487C5F"/>
    <w:rsid w:val="0049045A"/>
    <w:rsid w:val="00492E72"/>
    <w:rsid w:val="004939CE"/>
    <w:rsid w:val="00494A96"/>
    <w:rsid w:val="004956C4"/>
    <w:rsid w:val="00495787"/>
    <w:rsid w:val="004A1CAC"/>
    <w:rsid w:val="004A4D1D"/>
    <w:rsid w:val="004A5ADE"/>
    <w:rsid w:val="004A5C36"/>
    <w:rsid w:val="004A5F5C"/>
    <w:rsid w:val="004A6BAC"/>
    <w:rsid w:val="004B1173"/>
    <w:rsid w:val="004B2098"/>
    <w:rsid w:val="004B5080"/>
    <w:rsid w:val="004B5DFC"/>
    <w:rsid w:val="004B65AE"/>
    <w:rsid w:val="004B7473"/>
    <w:rsid w:val="004C0746"/>
    <w:rsid w:val="004C5C5E"/>
    <w:rsid w:val="004C731C"/>
    <w:rsid w:val="004D2844"/>
    <w:rsid w:val="004D2EB8"/>
    <w:rsid w:val="004D582B"/>
    <w:rsid w:val="004D66F5"/>
    <w:rsid w:val="004D689F"/>
    <w:rsid w:val="004E2028"/>
    <w:rsid w:val="004E4EBD"/>
    <w:rsid w:val="004E6946"/>
    <w:rsid w:val="004F2787"/>
    <w:rsid w:val="004F3366"/>
    <w:rsid w:val="004F4B0F"/>
    <w:rsid w:val="004F58BE"/>
    <w:rsid w:val="004F64FD"/>
    <w:rsid w:val="004F7DEF"/>
    <w:rsid w:val="00502C34"/>
    <w:rsid w:val="005040CF"/>
    <w:rsid w:val="00505C8D"/>
    <w:rsid w:val="00506591"/>
    <w:rsid w:val="00507582"/>
    <w:rsid w:val="00510117"/>
    <w:rsid w:val="00510635"/>
    <w:rsid w:val="00512965"/>
    <w:rsid w:val="005131D7"/>
    <w:rsid w:val="005133E3"/>
    <w:rsid w:val="00513EE8"/>
    <w:rsid w:val="00515DA5"/>
    <w:rsid w:val="00521161"/>
    <w:rsid w:val="005218E6"/>
    <w:rsid w:val="0052641B"/>
    <w:rsid w:val="00527131"/>
    <w:rsid w:val="00527401"/>
    <w:rsid w:val="0053171D"/>
    <w:rsid w:val="00532F73"/>
    <w:rsid w:val="0053462D"/>
    <w:rsid w:val="00534910"/>
    <w:rsid w:val="0053547C"/>
    <w:rsid w:val="005356B3"/>
    <w:rsid w:val="0054287C"/>
    <w:rsid w:val="005435B3"/>
    <w:rsid w:val="005443CE"/>
    <w:rsid w:val="005506B2"/>
    <w:rsid w:val="005515C0"/>
    <w:rsid w:val="00551AE7"/>
    <w:rsid w:val="00554F66"/>
    <w:rsid w:val="00555324"/>
    <w:rsid w:val="00555EC6"/>
    <w:rsid w:val="00557E82"/>
    <w:rsid w:val="00563DB2"/>
    <w:rsid w:val="00567D05"/>
    <w:rsid w:val="00570F0D"/>
    <w:rsid w:val="005710DB"/>
    <w:rsid w:val="005722C6"/>
    <w:rsid w:val="005763C5"/>
    <w:rsid w:val="00581912"/>
    <w:rsid w:val="00583447"/>
    <w:rsid w:val="005853DC"/>
    <w:rsid w:val="005937C0"/>
    <w:rsid w:val="00593DB5"/>
    <w:rsid w:val="00595A0D"/>
    <w:rsid w:val="00597D94"/>
    <w:rsid w:val="005A05D0"/>
    <w:rsid w:val="005A1AFE"/>
    <w:rsid w:val="005A1C03"/>
    <w:rsid w:val="005A5546"/>
    <w:rsid w:val="005A5FBD"/>
    <w:rsid w:val="005B5B11"/>
    <w:rsid w:val="005B6D8C"/>
    <w:rsid w:val="005C207F"/>
    <w:rsid w:val="005C2F7C"/>
    <w:rsid w:val="005C3E19"/>
    <w:rsid w:val="005C477C"/>
    <w:rsid w:val="005C49D2"/>
    <w:rsid w:val="005C59C2"/>
    <w:rsid w:val="005C6824"/>
    <w:rsid w:val="005C6911"/>
    <w:rsid w:val="005D003A"/>
    <w:rsid w:val="005D0BBA"/>
    <w:rsid w:val="005D1D38"/>
    <w:rsid w:val="005D3EE5"/>
    <w:rsid w:val="005D54D0"/>
    <w:rsid w:val="005D5850"/>
    <w:rsid w:val="005D5DD4"/>
    <w:rsid w:val="005D6A1B"/>
    <w:rsid w:val="005D7603"/>
    <w:rsid w:val="005E08D6"/>
    <w:rsid w:val="005E1D91"/>
    <w:rsid w:val="005E44C8"/>
    <w:rsid w:val="005E47DA"/>
    <w:rsid w:val="005E5E1E"/>
    <w:rsid w:val="005E779C"/>
    <w:rsid w:val="005E78CF"/>
    <w:rsid w:val="005E7FCD"/>
    <w:rsid w:val="005F1804"/>
    <w:rsid w:val="005F28BA"/>
    <w:rsid w:val="005F3594"/>
    <w:rsid w:val="005F59C9"/>
    <w:rsid w:val="00607051"/>
    <w:rsid w:val="00610391"/>
    <w:rsid w:val="00610B1E"/>
    <w:rsid w:val="00610FC7"/>
    <w:rsid w:val="006146A6"/>
    <w:rsid w:val="00614842"/>
    <w:rsid w:val="0062179E"/>
    <w:rsid w:val="00622770"/>
    <w:rsid w:val="0062665C"/>
    <w:rsid w:val="00630BCF"/>
    <w:rsid w:val="00633B03"/>
    <w:rsid w:val="00636F77"/>
    <w:rsid w:val="00640EB5"/>
    <w:rsid w:val="00641D94"/>
    <w:rsid w:val="00643E31"/>
    <w:rsid w:val="006444D1"/>
    <w:rsid w:val="00644557"/>
    <w:rsid w:val="00651349"/>
    <w:rsid w:val="00651AD0"/>
    <w:rsid w:val="00652371"/>
    <w:rsid w:val="00654CD1"/>
    <w:rsid w:val="00657E7D"/>
    <w:rsid w:val="0066369C"/>
    <w:rsid w:val="00665096"/>
    <w:rsid w:val="006650A8"/>
    <w:rsid w:val="00667311"/>
    <w:rsid w:val="00667BD9"/>
    <w:rsid w:val="00667D4D"/>
    <w:rsid w:val="006721E8"/>
    <w:rsid w:val="006743BF"/>
    <w:rsid w:val="00677108"/>
    <w:rsid w:val="00677289"/>
    <w:rsid w:val="00677FAF"/>
    <w:rsid w:val="00680D17"/>
    <w:rsid w:val="00682BC7"/>
    <w:rsid w:val="00690CE2"/>
    <w:rsid w:val="00691515"/>
    <w:rsid w:val="00693C6E"/>
    <w:rsid w:val="006974D8"/>
    <w:rsid w:val="006A3012"/>
    <w:rsid w:val="006A33D4"/>
    <w:rsid w:val="006A79EB"/>
    <w:rsid w:val="006B2A24"/>
    <w:rsid w:val="006B3F8B"/>
    <w:rsid w:val="006B3FF8"/>
    <w:rsid w:val="006B4279"/>
    <w:rsid w:val="006B4CE9"/>
    <w:rsid w:val="006B5AC0"/>
    <w:rsid w:val="006C302A"/>
    <w:rsid w:val="006C48DA"/>
    <w:rsid w:val="006D2F1C"/>
    <w:rsid w:val="006D3D17"/>
    <w:rsid w:val="006D41C8"/>
    <w:rsid w:val="006D48F7"/>
    <w:rsid w:val="006E0245"/>
    <w:rsid w:val="006E267D"/>
    <w:rsid w:val="006E2BC0"/>
    <w:rsid w:val="006E3922"/>
    <w:rsid w:val="006E5057"/>
    <w:rsid w:val="006F609F"/>
    <w:rsid w:val="006F672F"/>
    <w:rsid w:val="006F6758"/>
    <w:rsid w:val="007007E4"/>
    <w:rsid w:val="00700B7A"/>
    <w:rsid w:val="00702B3B"/>
    <w:rsid w:val="007038C7"/>
    <w:rsid w:val="007072D9"/>
    <w:rsid w:val="00707FF3"/>
    <w:rsid w:val="0071060A"/>
    <w:rsid w:val="007118BE"/>
    <w:rsid w:val="00712348"/>
    <w:rsid w:val="00713C43"/>
    <w:rsid w:val="0071516D"/>
    <w:rsid w:val="007173F0"/>
    <w:rsid w:val="00721F2F"/>
    <w:rsid w:val="00721FCB"/>
    <w:rsid w:val="00723991"/>
    <w:rsid w:val="007249AB"/>
    <w:rsid w:val="00725FAD"/>
    <w:rsid w:val="00733C51"/>
    <w:rsid w:val="0073597F"/>
    <w:rsid w:val="00736896"/>
    <w:rsid w:val="00736AB2"/>
    <w:rsid w:val="00736B14"/>
    <w:rsid w:val="00741CA7"/>
    <w:rsid w:val="00742DA5"/>
    <w:rsid w:val="00744CEB"/>
    <w:rsid w:val="00747592"/>
    <w:rsid w:val="00747F87"/>
    <w:rsid w:val="007509CB"/>
    <w:rsid w:val="00750DE2"/>
    <w:rsid w:val="0075360B"/>
    <w:rsid w:val="007558C8"/>
    <w:rsid w:val="00755FE4"/>
    <w:rsid w:val="007622C5"/>
    <w:rsid w:val="00763A94"/>
    <w:rsid w:val="007716E0"/>
    <w:rsid w:val="00775278"/>
    <w:rsid w:val="007847D9"/>
    <w:rsid w:val="00784823"/>
    <w:rsid w:val="00790155"/>
    <w:rsid w:val="00790D9E"/>
    <w:rsid w:val="007920AB"/>
    <w:rsid w:val="00793A1D"/>
    <w:rsid w:val="00794336"/>
    <w:rsid w:val="00795128"/>
    <w:rsid w:val="007A3330"/>
    <w:rsid w:val="007A51EA"/>
    <w:rsid w:val="007A5397"/>
    <w:rsid w:val="007B10E7"/>
    <w:rsid w:val="007B115F"/>
    <w:rsid w:val="007B3969"/>
    <w:rsid w:val="007B3E93"/>
    <w:rsid w:val="007B5AC6"/>
    <w:rsid w:val="007B6F02"/>
    <w:rsid w:val="007B7A8D"/>
    <w:rsid w:val="007B7B55"/>
    <w:rsid w:val="007C0B28"/>
    <w:rsid w:val="007C1738"/>
    <w:rsid w:val="007C4458"/>
    <w:rsid w:val="007D5A1E"/>
    <w:rsid w:val="007D5E69"/>
    <w:rsid w:val="007D7601"/>
    <w:rsid w:val="007E125A"/>
    <w:rsid w:val="007E1F6C"/>
    <w:rsid w:val="007E294C"/>
    <w:rsid w:val="007E44BA"/>
    <w:rsid w:val="007E4F18"/>
    <w:rsid w:val="007E5E32"/>
    <w:rsid w:val="007F2AB1"/>
    <w:rsid w:val="007F6121"/>
    <w:rsid w:val="007F6174"/>
    <w:rsid w:val="007F727D"/>
    <w:rsid w:val="008015A7"/>
    <w:rsid w:val="008015AC"/>
    <w:rsid w:val="0080347B"/>
    <w:rsid w:val="008041F5"/>
    <w:rsid w:val="008055E7"/>
    <w:rsid w:val="00806470"/>
    <w:rsid w:val="00807525"/>
    <w:rsid w:val="00807D71"/>
    <w:rsid w:val="00810117"/>
    <w:rsid w:val="00826027"/>
    <w:rsid w:val="008263E8"/>
    <w:rsid w:val="008276E9"/>
    <w:rsid w:val="0083451C"/>
    <w:rsid w:val="00835911"/>
    <w:rsid w:val="008409E3"/>
    <w:rsid w:val="00840F2D"/>
    <w:rsid w:val="00843576"/>
    <w:rsid w:val="00845B6F"/>
    <w:rsid w:val="00847763"/>
    <w:rsid w:val="008515AF"/>
    <w:rsid w:val="00852231"/>
    <w:rsid w:val="00853D52"/>
    <w:rsid w:val="00857501"/>
    <w:rsid w:val="00863470"/>
    <w:rsid w:val="008668B0"/>
    <w:rsid w:val="00867014"/>
    <w:rsid w:val="0087041F"/>
    <w:rsid w:val="0087138A"/>
    <w:rsid w:val="0087177B"/>
    <w:rsid w:val="00872337"/>
    <w:rsid w:val="00872894"/>
    <w:rsid w:val="0087721D"/>
    <w:rsid w:val="00881BB5"/>
    <w:rsid w:val="00890764"/>
    <w:rsid w:val="0089119D"/>
    <w:rsid w:val="00894E48"/>
    <w:rsid w:val="00897002"/>
    <w:rsid w:val="008A20B6"/>
    <w:rsid w:val="008A4D67"/>
    <w:rsid w:val="008A4F3A"/>
    <w:rsid w:val="008A5269"/>
    <w:rsid w:val="008A5572"/>
    <w:rsid w:val="008B09D4"/>
    <w:rsid w:val="008B2C6D"/>
    <w:rsid w:val="008C0E83"/>
    <w:rsid w:val="008C3160"/>
    <w:rsid w:val="008C4E5B"/>
    <w:rsid w:val="008C500F"/>
    <w:rsid w:val="008C736D"/>
    <w:rsid w:val="008D1023"/>
    <w:rsid w:val="008D1F86"/>
    <w:rsid w:val="008D234C"/>
    <w:rsid w:val="008D629F"/>
    <w:rsid w:val="008D6A99"/>
    <w:rsid w:val="008E503A"/>
    <w:rsid w:val="008F15B1"/>
    <w:rsid w:val="008F2BBD"/>
    <w:rsid w:val="008F4E60"/>
    <w:rsid w:val="008F5214"/>
    <w:rsid w:val="009054E6"/>
    <w:rsid w:val="00912385"/>
    <w:rsid w:val="009146D9"/>
    <w:rsid w:val="009148DB"/>
    <w:rsid w:val="009148DE"/>
    <w:rsid w:val="00914C15"/>
    <w:rsid w:val="00916E9C"/>
    <w:rsid w:val="00917C53"/>
    <w:rsid w:val="0092241C"/>
    <w:rsid w:val="009232BB"/>
    <w:rsid w:val="00923E03"/>
    <w:rsid w:val="00931203"/>
    <w:rsid w:val="00932047"/>
    <w:rsid w:val="00933858"/>
    <w:rsid w:val="00936AE0"/>
    <w:rsid w:val="00940477"/>
    <w:rsid w:val="00946680"/>
    <w:rsid w:val="00946978"/>
    <w:rsid w:val="009530E4"/>
    <w:rsid w:val="00954337"/>
    <w:rsid w:val="00956DD8"/>
    <w:rsid w:val="009570F3"/>
    <w:rsid w:val="00960201"/>
    <w:rsid w:val="00960486"/>
    <w:rsid w:val="009711C8"/>
    <w:rsid w:val="00972B2F"/>
    <w:rsid w:val="00973860"/>
    <w:rsid w:val="00976F7E"/>
    <w:rsid w:val="00980DA8"/>
    <w:rsid w:val="0098324D"/>
    <w:rsid w:val="00983BE2"/>
    <w:rsid w:val="00983C91"/>
    <w:rsid w:val="00984040"/>
    <w:rsid w:val="00986D39"/>
    <w:rsid w:val="00987039"/>
    <w:rsid w:val="009871A0"/>
    <w:rsid w:val="00990EA7"/>
    <w:rsid w:val="00991930"/>
    <w:rsid w:val="00991DA0"/>
    <w:rsid w:val="00992225"/>
    <w:rsid w:val="00992AA7"/>
    <w:rsid w:val="00994192"/>
    <w:rsid w:val="0099533D"/>
    <w:rsid w:val="00996111"/>
    <w:rsid w:val="009962BF"/>
    <w:rsid w:val="009A35C8"/>
    <w:rsid w:val="009A37F6"/>
    <w:rsid w:val="009B002B"/>
    <w:rsid w:val="009B15AA"/>
    <w:rsid w:val="009B1722"/>
    <w:rsid w:val="009B217D"/>
    <w:rsid w:val="009B3A0A"/>
    <w:rsid w:val="009B4039"/>
    <w:rsid w:val="009B4888"/>
    <w:rsid w:val="009B598F"/>
    <w:rsid w:val="009B7278"/>
    <w:rsid w:val="009B7979"/>
    <w:rsid w:val="009C0D5C"/>
    <w:rsid w:val="009C2A66"/>
    <w:rsid w:val="009C359C"/>
    <w:rsid w:val="009C3C01"/>
    <w:rsid w:val="009C5A7F"/>
    <w:rsid w:val="009C6FF7"/>
    <w:rsid w:val="009C721E"/>
    <w:rsid w:val="009D03D1"/>
    <w:rsid w:val="009D1A0B"/>
    <w:rsid w:val="009D1BED"/>
    <w:rsid w:val="009D30B3"/>
    <w:rsid w:val="009D3326"/>
    <w:rsid w:val="009D4444"/>
    <w:rsid w:val="009E1AC3"/>
    <w:rsid w:val="009E4A20"/>
    <w:rsid w:val="009E75B2"/>
    <w:rsid w:val="009F0864"/>
    <w:rsid w:val="009F4F87"/>
    <w:rsid w:val="009F7342"/>
    <w:rsid w:val="009F7F90"/>
    <w:rsid w:val="00A011A9"/>
    <w:rsid w:val="00A04E58"/>
    <w:rsid w:val="00A103D0"/>
    <w:rsid w:val="00A128DD"/>
    <w:rsid w:val="00A12D96"/>
    <w:rsid w:val="00A210D4"/>
    <w:rsid w:val="00A22687"/>
    <w:rsid w:val="00A26154"/>
    <w:rsid w:val="00A31519"/>
    <w:rsid w:val="00A354F6"/>
    <w:rsid w:val="00A36B74"/>
    <w:rsid w:val="00A402DC"/>
    <w:rsid w:val="00A4256F"/>
    <w:rsid w:val="00A436D0"/>
    <w:rsid w:val="00A44864"/>
    <w:rsid w:val="00A45C0E"/>
    <w:rsid w:val="00A51137"/>
    <w:rsid w:val="00A5332A"/>
    <w:rsid w:val="00A54E14"/>
    <w:rsid w:val="00A62A8E"/>
    <w:rsid w:val="00A63750"/>
    <w:rsid w:val="00A6385E"/>
    <w:rsid w:val="00A638DF"/>
    <w:rsid w:val="00A65394"/>
    <w:rsid w:val="00A70854"/>
    <w:rsid w:val="00A709FB"/>
    <w:rsid w:val="00A75D53"/>
    <w:rsid w:val="00A7698F"/>
    <w:rsid w:val="00A77E1A"/>
    <w:rsid w:val="00A8481C"/>
    <w:rsid w:val="00A8568E"/>
    <w:rsid w:val="00A85D87"/>
    <w:rsid w:val="00A866AD"/>
    <w:rsid w:val="00A9115E"/>
    <w:rsid w:val="00A930AC"/>
    <w:rsid w:val="00A94B23"/>
    <w:rsid w:val="00AA55F0"/>
    <w:rsid w:val="00AA69F1"/>
    <w:rsid w:val="00AA6CEF"/>
    <w:rsid w:val="00AB0D6A"/>
    <w:rsid w:val="00AB1233"/>
    <w:rsid w:val="00AB3321"/>
    <w:rsid w:val="00AC0858"/>
    <w:rsid w:val="00AC0A67"/>
    <w:rsid w:val="00AC32AA"/>
    <w:rsid w:val="00AC6F3D"/>
    <w:rsid w:val="00AC7E9C"/>
    <w:rsid w:val="00AD0B9E"/>
    <w:rsid w:val="00AD142D"/>
    <w:rsid w:val="00AD5EEF"/>
    <w:rsid w:val="00AD64B1"/>
    <w:rsid w:val="00AE10CA"/>
    <w:rsid w:val="00AE2B91"/>
    <w:rsid w:val="00AE35AB"/>
    <w:rsid w:val="00AE645E"/>
    <w:rsid w:val="00AE7299"/>
    <w:rsid w:val="00AF35AF"/>
    <w:rsid w:val="00AF62EC"/>
    <w:rsid w:val="00B00343"/>
    <w:rsid w:val="00B01985"/>
    <w:rsid w:val="00B04349"/>
    <w:rsid w:val="00B0780D"/>
    <w:rsid w:val="00B133C3"/>
    <w:rsid w:val="00B1547F"/>
    <w:rsid w:val="00B16562"/>
    <w:rsid w:val="00B17CF9"/>
    <w:rsid w:val="00B21798"/>
    <w:rsid w:val="00B2270F"/>
    <w:rsid w:val="00B2702B"/>
    <w:rsid w:val="00B27AE2"/>
    <w:rsid w:val="00B337F7"/>
    <w:rsid w:val="00B41669"/>
    <w:rsid w:val="00B41EA4"/>
    <w:rsid w:val="00B42D12"/>
    <w:rsid w:val="00B447FA"/>
    <w:rsid w:val="00B47DD6"/>
    <w:rsid w:val="00B51205"/>
    <w:rsid w:val="00B518BB"/>
    <w:rsid w:val="00B52B4A"/>
    <w:rsid w:val="00B54714"/>
    <w:rsid w:val="00B547D5"/>
    <w:rsid w:val="00B6317D"/>
    <w:rsid w:val="00B702E1"/>
    <w:rsid w:val="00B72407"/>
    <w:rsid w:val="00B73A74"/>
    <w:rsid w:val="00B744FF"/>
    <w:rsid w:val="00B77D56"/>
    <w:rsid w:val="00B8057A"/>
    <w:rsid w:val="00B82757"/>
    <w:rsid w:val="00B83A53"/>
    <w:rsid w:val="00B84DEA"/>
    <w:rsid w:val="00B85722"/>
    <w:rsid w:val="00B860A4"/>
    <w:rsid w:val="00B874FA"/>
    <w:rsid w:val="00B87702"/>
    <w:rsid w:val="00B91A19"/>
    <w:rsid w:val="00B92DD1"/>
    <w:rsid w:val="00B92DE2"/>
    <w:rsid w:val="00B940FF"/>
    <w:rsid w:val="00BA308E"/>
    <w:rsid w:val="00BA321C"/>
    <w:rsid w:val="00BA4325"/>
    <w:rsid w:val="00BA5FD6"/>
    <w:rsid w:val="00BA6BE7"/>
    <w:rsid w:val="00BB1A7F"/>
    <w:rsid w:val="00BB2C9C"/>
    <w:rsid w:val="00BB4D4D"/>
    <w:rsid w:val="00BB4F7E"/>
    <w:rsid w:val="00BB5C8B"/>
    <w:rsid w:val="00BB7E60"/>
    <w:rsid w:val="00BC2A1A"/>
    <w:rsid w:val="00BC479A"/>
    <w:rsid w:val="00BC6818"/>
    <w:rsid w:val="00BC6892"/>
    <w:rsid w:val="00BD19B8"/>
    <w:rsid w:val="00BD1E80"/>
    <w:rsid w:val="00BD1FA6"/>
    <w:rsid w:val="00BD2586"/>
    <w:rsid w:val="00BD3AED"/>
    <w:rsid w:val="00BD654C"/>
    <w:rsid w:val="00BD65D4"/>
    <w:rsid w:val="00BE3B32"/>
    <w:rsid w:val="00BE5CAF"/>
    <w:rsid w:val="00BE7BF2"/>
    <w:rsid w:val="00BF0EB8"/>
    <w:rsid w:val="00BF3A3C"/>
    <w:rsid w:val="00C06298"/>
    <w:rsid w:val="00C075B5"/>
    <w:rsid w:val="00C1079E"/>
    <w:rsid w:val="00C11564"/>
    <w:rsid w:val="00C115F7"/>
    <w:rsid w:val="00C12945"/>
    <w:rsid w:val="00C12BC2"/>
    <w:rsid w:val="00C13E14"/>
    <w:rsid w:val="00C15FD9"/>
    <w:rsid w:val="00C201C2"/>
    <w:rsid w:val="00C212A8"/>
    <w:rsid w:val="00C21645"/>
    <w:rsid w:val="00C26828"/>
    <w:rsid w:val="00C274CF"/>
    <w:rsid w:val="00C3267F"/>
    <w:rsid w:val="00C347C3"/>
    <w:rsid w:val="00C34C79"/>
    <w:rsid w:val="00C3647F"/>
    <w:rsid w:val="00C401CE"/>
    <w:rsid w:val="00C419B0"/>
    <w:rsid w:val="00C43A06"/>
    <w:rsid w:val="00C44DAA"/>
    <w:rsid w:val="00C50FDA"/>
    <w:rsid w:val="00C53933"/>
    <w:rsid w:val="00C56131"/>
    <w:rsid w:val="00C56B27"/>
    <w:rsid w:val="00C57770"/>
    <w:rsid w:val="00C60EA3"/>
    <w:rsid w:val="00C64B39"/>
    <w:rsid w:val="00C73B79"/>
    <w:rsid w:val="00C80597"/>
    <w:rsid w:val="00C820DB"/>
    <w:rsid w:val="00C829DD"/>
    <w:rsid w:val="00C83ECF"/>
    <w:rsid w:val="00C84F73"/>
    <w:rsid w:val="00C94D20"/>
    <w:rsid w:val="00C96D06"/>
    <w:rsid w:val="00C9767B"/>
    <w:rsid w:val="00CA0B8E"/>
    <w:rsid w:val="00CA1250"/>
    <w:rsid w:val="00CA1C31"/>
    <w:rsid w:val="00CA48B7"/>
    <w:rsid w:val="00CA53D6"/>
    <w:rsid w:val="00CA5804"/>
    <w:rsid w:val="00CA749F"/>
    <w:rsid w:val="00CA75FC"/>
    <w:rsid w:val="00CB1368"/>
    <w:rsid w:val="00CB7D21"/>
    <w:rsid w:val="00CB7F4D"/>
    <w:rsid w:val="00CC038B"/>
    <w:rsid w:val="00CC0EC7"/>
    <w:rsid w:val="00CC2B52"/>
    <w:rsid w:val="00CC2CCD"/>
    <w:rsid w:val="00CC4AAE"/>
    <w:rsid w:val="00CD3385"/>
    <w:rsid w:val="00CE58F8"/>
    <w:rsid w:val="00CE6598"/>
    <w:rsid w:val="00CF04B5"/>
    <w:rsid w:val="00CF1B87"/>
    <w:rsid w:val="00CF1C7E"/>
    <w:rsid w:val="00CF2F85"/>
    <w:rsid w:val="00CF3026"/>
    <w:rsid w:val="00CF3AB9"/>
    <w:rsid w:val="00CF79DA"/>
    <w:rsid w:val="00D01D97"/>
    <w:rsid w:val="00D04AA1"/>
    <w:rsid w:val="00D05695"/>
    <w:rsid w:val="00D11D11"/>
    <w:rsid w:val="00D1347D"/>
    <w:rsid w:val="00D14648"/>
    <w:rsid w:val="00D21427"/>
    <w:rsid w:val="00D21751"/>
    <w:rsid w:val="00D25E84"/>
    <w:rsid w:val="00D30913"/>
    <w:rsid w:val="00D31BC5"/>
    <w:rsid w:val="00D32777"/>
    <w:rsid w:val="00D3536C"/>
    <w:rsid w:val="00D35583"/>
    <w:rsid w:val="00D35917"/>
    <w:rsid w:val="00D3600B"/>
    <w:rsid w:val="00D36434"/>
    <w:rsid w:val="00D409B3"/>
    <w:rsid w:val="00D453B4"/>
    <w:rsid w:val="00D46159"/>
    <w:rsid w:val="00D46662"/>
    <w:rsid w:val="00D47904"/>
    <w:rsid w:val="00D50F15"/>
    <w:rsid w:val="00D52D44"/>
    <w:rsid w:val="00D53681"/>
    <w:rsid w:val="00D55355"/>
    <w:rsid w:val="00D61D18"/>
    <w:rsid w:val="00D62E34"/>
    <w:rsid w:val="00D66E62"/>
    <w:rsid w:val="00D72FD4"/>
    <w:rsid w:val="00D76632"/>
    <w:rsid w:val="00D816C7"/>
    <w:rsid w:val="00D830BA"/>
    <w:rsid w:val="00D8370B"/>
    <w:rsid w:val="00D83BD4"/>
    <w:rsid w:val="00D861A8"/>
    <w:rsid w:val="00D919F1"/>
    <w:rsid w:val="00D92416"/>
    <w:rsid w:val="00D92C22"/>
    <w:rsid w:val="00D97038"/>
    <w:rsid w:val="00DA0946"/>
    <w:rsid w:val="00DA2521"/>
    <w:rsid w:val="00DA455B"/>
    <w:rsid w:val="00DA6CE0"/>
    <w:rsid w:val="00DA7209"/>
    <w:rsid w:val="00DB0DD2"/>
    <w:rsid w:val="00DB5D8C"/>
    <w:rsid w:val="00DB7F4C"/>
    <w:rsid w:val="00DC23FA"/>
    <w:rsid w:val="00DC2C4C"/>
    <w:rsid w:val="00DC3A93"/>
    <w:rsid w:val="00DC5AF0"/>
    <w:rsid w:val="00DC657B"/>
    <w:rsid w:val="00DD3282"/>
    <w:rsid w:val="00DE22F1"/>
    <w:rsid w:val="00DF01DF"/>
    <w:rsid w:val="00E007E8"/>
    <w:rsid w:val="00E013CD"/>
    <w:rsid w:val="00E02D8D"/>
    <w:rsid w:val="00E052EC"/>
    <w:rsid w:val="00E15C53"/>
    <w:rsid w:val="00E16580"/>
    <w:rsid w:val="00E21616"/>
    <w:rsid w:val="00E24847"/>
    <w:rsid w:val="00E248C2"/>
    <w:rsid w:val="00E25348"/>
    <w:rsid w:val="00E25E88"/>
    <w:rsid w:val="00E34288"/>
    <w:rsid w:val="00E3483F"/>
    <w:rsid w:val="00E36E30"/>
    <w:rsid w:val="00E40559"/>
    <w:rsid w:val="00E435C2"/>
    <w:rsid w:val="00E456DE"/>
    <w:rsid w:val="00E47ED9"/>
    <w:rsid w:val="00E55877"/>
    <w:rsid w:val="00E60177"/>
    <w:rsid w:val="00E6060C"/>
    <w:rsid w:val="00E60C29"/>
    <w:rsid w:val="00E60EB7"/>
    <w:rsid w:val="00E63E97"/>
    <w:rsid w:val="00E71B5F"/>
    <w:rsid w:val="00E72AC4"/>
    <w:rsid w:val="00E74A2A"/>
    <w:rsid w:val="00E81272"/>
    <w:rsid w:val="00E82734"/>
    <w:rsid w:val="00E83ED8"/>
    <w:rsid w:val="00E850AE"/>
    <w:rsid w:val="00E90741"/>
    <w:rsid w:val="00E907A8"/>
    <w:rsid w:val="00E92900"/>
    <w:rsid w:val="00E92CA6"/>
    <w:rsid w:val="00E95921"/>
    <w:rsid w:val="00EA02CC"/>
    <w:rsid w:val="00EA0B3E"/>
    <w:rsid w:val="00EA251B"/>
    <w:rsid w:val="00EB3CE7"/>
    <w:rsid w:val="00EB4A69"/>
    <w:rsid w:val="00EB71C2"/>
    <w:rsid w:val="00EB737A"/>
    <w:rsid w:val="00EC1865"/>
    <w:rsid w:val="00EC1A7B"/>
    <w:rsid w:val="00EC2416"/>
    <w:rsid w:val="00ED1F15"/>
    <w:rsid w:val="00ED3503"/>
    <w:rsid w:val="00ED7587"/>
    <w:rsid w:val="00EE31DF"/>
    <w:rsid w:val="00EE359B"/>
    <w:rsid w:val="00EE58C8"/>
    <w:rsid w:val="00EF0B98"/>
    <w:rsid w:val="00EF1005"/>
    <w:rsid w:val="00EF3A69"/>
    <w:rsid w:val="00EF3AF0"/>
    <w:rsid w:val="00F01FA2"/>
    <w:rsid w:val="00F01FA6"/>
    <w:rsid w:val="00F032F7"/>
    <w:rsid w:val="00F03FC9"/>
    <w:rsid w:val="00F06E63"/>
    <w:rsid w:val="00F11874"/>
    <w:rsid w:val="00F135A0"/>
    <w:rsid w:val="00F20FFC"/>
    <w:rsid w:val="00F23FCE"/>
    <w:rsid w:val="00F27A88"/>
    <w:rsid w:val="00F31948"/>
    <w:rsid w:val="00F32881"/>
    <w:rsid w:val="00F3330C"/>
    <w:rsid w:val="00F33A85"/>
    <w:rsid w:val="00F35FBC"/>
    <w:rsid w:val="00F40245"/>
    <w:rsid w:val="00F4383B"/>
    <w:rsid w:val="00F46DEF"/>
    <w:rsid w:val="00F472CE"/>
    <w:rsid w:val="00F47924"/>
    <w:rsid w:val="00F47CE5"/>
    <w:rsid w:val="00F514E3"/>
    <w:rsid w:val="00F54917"/>
    <w:rsid w:val="00F5553F"/>
    <w:rsid w:val="00F5564A"/>
    <w:rsid w:val="00F55808"/>
    <w:rsid w:val="00F60A2A"/>
    <w:rsid w:val="00F61B27"/>
    <w:rsid w:val="00F61CEB"/>
    <w:rsid w:val="00F626B0"/>
    <w:rsid w:val="00F64140"/>
    <w:rsid w:val="00F6475C"/>
    <w:rsid w:val="00F672DF"/>
    <w:rsid w:val="00F70F2E"/>
    <w:rsid w:val="00F736E4"/>
    <w:rsid w:val="00F761D0"/>
    <w:rsid w:val="00F77E4A"/>
    <w:rsid w:val="00F83557"/>
    <w:rsid w:val="00F83FE7"/>
    <w:rsid w:val="00F8644E"/>
    <w:rsid w:val="00F9246F"/>
    <w:rsid w:val="00F933AE"/>
    <w:rsid w:val="00F94402"/>
    <w:rsid w:val="00F9694A"/>
    <w:rsid w:val="00FA0820"/>
    <w:rsid w:val="00FA191C"/>
    <w:rsid w:val="00FA1997"/>
    <w:rsid w:val="00FA19D9"/>
    <w:rsid w:val="00FA1BD2"/>
    <w:rsid w:val="00FA1EC0"/>
    <w:rsid w:val="00FA3F2F"/>
    <w:rsid w:val="00FB7E1E"/>
    <w:rsid w:val="00FC0CF9"/>
    <w:rsid w:val="00FC197F"/>
    <w:rsid w:val="00FC4D32"/>
    <w:rsid w:val="00FD0120"/>
    <w:rsid w:val="00FD08E0"/>
    <w:rsid w:val="00FD6BFF"/>
    <w:rsid w:val="00FE6086"/>
    <w:rsid w:val="00FF4EE6"/>
    <w:rsid w:val="00FF5D59"/>
    <w:rsid w:val="00F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3D"/>
    <w:pPr>
      <w:spacing w:after="200" w:line="276" w:lineRule="auto"/>
    </w:pPr>
    <w:rPr>
      <w:sz w:val="22"/>
      <w:szCs w:val="22"/>
      <w:lang w:val="en-US" w:eastAsia="en-US"/>
    </w:rPr>
  </w:style>
  <w:style w:type="paragraph" w:styleId="Titre6">
    <w:name w:val="heading 6"/>
    <w:basedOn w:val="Normal"/>
    <w:next w:val="Normal"/>
    <w:link w:val="Titre6Car"/>
    <w:qFormat/>
    <w:rsid w:val="00BC2A1A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Arial Narrow" w:eastAsia="Times New Roman" w:hAnsi="Arial Narrow" w:cs="Times New Roman"/>
      <w:b/>
      <w:bCs/>
      <w:color w:val="8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A9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63A94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763A94"/>
  </w:style>
  <w:style w:type="paragraph" w:styleId="En-tte">
    <w:name w:val="header"/>
    <w:basedOn w:val="Normal"/>
    <w:link w:val="En-tteCar"/>
    <w:uiPriority w:val="99"/>
    <w:unhideWhenUsed/>
    <w:rsid w:val="000B1EB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B1EB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B1EB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B1EB8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4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C10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</w:rPr>
  </w:style>
  <w:style w:type="character" w:customStyle="1" w:styleId="CorpsdetexteCar">
    <w:name w:val="Corps de texte Car"/>
    <w:link w:val="Corpsdetexte"/>
    <w:rsid w:val="00C1079E"/>
    <w:rPr>
      <w:rFonts w:ascii="Book Antiqua" w:eastAsia="Times New Roman" w:hAnsi="Book Antiqua" w:cs="Times New Roman"/>
      <w:sz w:val="22"/>
      <w:szCs w:val="22"/>
    </w:rPr>
  </w:style>
  <w:style w:type="table" w:styleId="Grilledutableau">
    <w:name w:val="Table Grid"/>
    <w:basedOn w:val="TableauNormal"/>
    <w:uiPriority w:val="59"/>
    <w:rsid w:val="004A6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1F3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6Car">
    <w:name w:val="Titre 6 Car"/>
    <w:link w:val="Titre6"/>
    <w:rsid w:val="00BC2A1A"/>
    <w:rPr>
      <w:rFonts w:ascii="Arial Narrow" w:eastAsia="Times New Roman" w:hAnsi="Arial Narrow" w:cs="Times New Roman"/>
      <w:b/>
      <w:bCs/>
      <w:color w:val="800000"/>
      <w:sz w:val="24"/>
      <w:szCs w:val="24"/>
    </w:rPr>
  </w:style>
  <w:style w:type="paragraph" w:customStyle="1" w:styleId="Default">
    <w:name w:val="Default"/>
    <w:rsid w:val="00AC085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AC08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Cs w:val="20"/>
      <w:lang w:val="fr-FR" w:eastAsia="fr-FR"/>
    </w:rPr>
  </w:style>
  <w:style w:type="character" w:styleId="lev">
    <w:name w:val="Strong"/>
    <w:uiPriority w:val="22"/>
    <w:qFormat/>
    <w:rsid w:val="00037A87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F29BC"/>
    <w:pPr>
      <w:spacing w:after="120"/>
      <w:ind w:left="283"/>
    </w:pPr>
    <w:rPr>
      <w:rFonts w:cs="Times New Roman"/>
    </w:rPr>
  </w:style>
  <w:style w:type="character" w:customStyle="1" w:styleId="RetraitcorpsdetexteCar">
    <w:name w:val="Retrait corps de texte Car"/>
    <w:link w:val="Retraitcorpsdetexte"/>
    <w:uiPriority w:val="99"/>
    <w:semiHidden/>
    <w:rsid w:val="000F29BC"/>
    <w:rPr>
      <w:sz w:val="22"/>
      <w:szCs w:val="22"/>
      <w:lang w:val="en-US" w:eastAsia="en-US"/>
    </w:rPr>
  </w:style>
  <w:style w:type="character" w:styleId="Lienhypertexte">
    <w:name w:val="Hyperlink"/>
    <w:uiPriority w:val="99"/>
    <w:unhideWhenUsed/>
    <w:rsid w:val="00D31BC5"/>
    <w:rPr>
      <w:color w:val="0000FF"/>
      <w:u w:val="single"/>
    </w:rPr>
  </w:style>
  <w:style w:type="character" w:customStyle="1" w:styleId="newsdate">
    <w:name w:val="newsdate"/>
    <w:basedOn w:val="Policepardfaut"/>
    <w:rsid w:val="00C820DB"/>
  </w:style>
  <w:style w:type="character" w:customStyle="1" w:styleId="newstitle">
    <w:name w:val="newstitle"/>
    <w:basedOn w:val="Policepardfaut"/>
    <w:rsid w:val="00C820DB"/>
  </w:style>
  <w:style w:type="character" w:customStyle="1" w:styleId="apple-converted-space">
    <w:name w:val="apple-converted-space"/>
    <w:basedOn w:val="Policepardfaut"/>
    <w:rsid w:val="00F43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51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35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5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686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492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urcap\doc\SITE\phys%20Hebdo\hebd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urcap\doc\SITE\phys%20Hebdo\heb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5"/>
  <c:chart>
    <c:plotArea>
      <c:layout>
        <c:manualLayout>
          <c:layoutTarget val="inner"/>
          <c:xMode val="edge"/>
          <c:yMode val="edge"/>
          <c:x val="0.11777006368827569"/>
          <c:y val="3.6836763819732991E-2"/>
          <c:w val="0.80218073943539725"/>
          <c:h val="0.84650845727620005"/>
        </c:manualLayout>
      </c:layout>
      <c:barChart>
        <c:barDir val="col"/>
        <c:grouping val="clustered"/>
        <c:ser>
          <c:idx val="0"/>
          <c:order val="0"/>
          <c:tx>
            <c:strRef>
              <c:f>Feuil2!$Y$51</c:f>
              <c:strCache>
                <c:ptCount val="1"/>
                <c:pt idx="0">
                  <c:v>Volume</c:v>
                </c:pt>
              </c:strCache>
            </c:strRef>
          </c:tx>
          <c:spPr>
            <a:solidFill>
              <a:srgbClr val="497B5A"/>
            </a:solidFill>
          </c:spPr>
          <c:dLbls>
            <c:dLbl>
              <c:idx val="1"/>
              <c:layout>
                <c:manualLayout>
                  <c:x val="0"/>
                  <c:y val="0.13809407226498355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0.27889803319166884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.26110099303147033"/>
                </c:manualLayout>
              </c:layout>
              <c:dLblPos val="outEnd"/>
              <c:showVal val="1"/>
            </c:dLbl>
            <c:txPr>
              <a:bodyPr rot="-5400000" vert="horz"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fr-FR"/>
              </a:p>
            </c:txPr>
            <c:dLblPos val="ctr"/>
            <c:showVal val="1"/>
          </c:dLbls>
          <c:cat>
            <c:strRef>
              <c:f>Feuil2!$Z$50:$AD$50</c:f>
              <c:strCache>
                <c:ptCount val="5"/>
                <c:pt idx="0">
                  <c:v>Lundi</c:v>
                </c:pt>
                <c:pt idx="1">
                  <c:v>Mardi</c:v>
                </c:pt>
                <c:pt idx="2">
                  <c:v>Mercredi</c:v>
                </c:pt>
                <c:pt idx="3">
                  <c:v>Jeudi</c:v>
                </c:pt>
                <c:pt idx="4">
                  <c:v>Vendredi</c:v>
                </c:pt>
              </c:strCache>
            </c:strRef>
          </c:cat>
          <c:val>
            <c:numRef>
              <c:f>Feuil2!$Z$51:$AD$51</c:f>
              <c:numCache>
                <c:formatCode>0.0</c:formatCode>
                <c:ptCount val="5"/>
                <c:pt idx="0">
                  <c:v>1.9911421400000002</c:v>
                </c:pt>
                <c:pt idx="1">
                  <c:v>3.5363816599999991</c:v>
                </c:pt>
                <c:pt idx="2">
                  <c:v>3.48927772</c:v>
                </c:pt>
                <c:pt idx="3">
                  <c:v>3.69465931</c:v>
                </c:pt>
                <c:pt idx="4">
                  <c:v>14.201762330000008</c:v>
                </c:pt>
              </c:numCache>
            </c:numRef>
          </c:val>
        </c:ser>
        <c:axId val="83147392"/>
        <c:axId val="83120512"/>
      </c:barChart>
      <c:lineChart>
        <c:grouping val="standard"/>
        <c:ser>
          <c:idx val="1"/>
          <c:order val="1"/>
          <c:tx>
            <c:strRef>
              <c:f>Feuil2!$Y$52</c:f>
              <c:strCache>
                <c:ptCount val="1"/>
                <c:pt idx="0">
                  <c:v>Tunindex</c:v>
                </c:pt>
              </c:strCache>
            </c:strRef>
          </c:tx>
          <c:marker>
            <c:symbol val="circle"/>
            <c:size val="5"/>
          </c:marker>
          <c:dLbls>
            <c:dLbl>
              <c:idx val="0"/>
              <c:layout>
                <c:manualLayout>
                  <c:x val="-0.10700932642841272"/>
                  <c:y val="4.5042903975111834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5.1706583871419104E-2"/>
                  <c:y val="-4.403673559566959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7622079055676524E-2"/>
                  <c:y val="-4.9069368890587398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5.9282144006138834E-2"/>
                  <c:y val="5.6981375435160346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5.0864364362139453E-2"/>
                  <c:y val="6.1928166073506076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Pos val="ctr"/>
            <c:showVal val="1"/>
          </c:dLbls>
          <c:cat>
            <c:strRef>
              <c:f>Feuil2!$Z$50:$AD$50</c:f>
              <c:strCache>
                <c:ptCount val="5"/>
                <c:pt idx="0">
                  <c:v>Lundi</c:v>
                </c:pt>
                <c:pt idx="1">
                  <c:v>Mardi</c:v>
                </c:pt>
                <c:pt idx="2">
                  <c:v>Mercredi</c:v>
                </c:pt>
                <c:pt idx="3">
                  <c:v>Jeudi</c:v>
                </c:pt>
                <c:pt idx="4">
                  <c:v>Vendredi</c:v>
                </c:pt>
              </c:strCache>
            </c:strRef>
          </c:cat>
          <c:val>
            <c:numRef>
              <c:f>Feuil2!$Z$52:$AD$52</c:f>
              <c:numCache>
                <c:formatCode>0</c:formatCode>
                <c:ptCount val="5"/>
                <c:pt idx="0">
                  <c:v>5186.09</c:v>
                </c:pt>
                <c:pt idx="1">
                  <c:v>5174.6000000000004</c:v>
                </c:pt>
                <c:pt idx="2">
                  <c:v>5159.22</c:v>
                </c:pt>
                <c:pt idx="3">
                  <c:v>5146.96</c:v>
                </c:pt>
                <c:pt idx="4">
                  <c:v>5145.66</c:v>
                </c:pt>
              </c:numCache>
            </c:numRef>
          </c:val>
        </c:ser>
        <c:marker val="1"/>
        <c:axId val="83123584"/>
        <c:axId val="83122048"/>
      </c:lineChart>
      <c:catAx>
        <c:axId val="83147392"/>
        <c:scaling>
          <c:orientation val="minMax"/>
        </c:scaling>
        <c:axPos val="b"/>
        <c:numFmt formatCode="0.0" sourceLinked="1"/>
        <c:tickLblPos val="nextTo"/>
        <c:crossAx val="83120512"/>
        <c:crosses val="autoZero"/>
        <c:auto val="1"/>
        <c:lblAlgn val="ctr"/>
        <c:lblOffset val="100"/>
      </c:catAx>
      <c:valAx>
        <c:axId val="83120512"/>
        <c:scaling>
          <c:orientation val="minMax"/>
          <c:max val="15"/>
          <c:min val="0"/>
        </c:scaling>
        <c:axPos val="l"/>
        <c:numFmt formatCode="0.0" sourceLinked="1"/>
        <c:tickLblPos val="nextTo"/>
        <c:crossAx val="83147392"/>
        <c:crosses val="autoZero"/>
        <c:crossBetween val="between"/>
        <c:majorUnit val="4"/>
      </c:valAx>
      <c:valAx>
        <c:axId val="83122048"/>
        <c:scaling>
          <c:orientation val="minMax"/>
          <c:max val="5400"/>
          <c:min val="5000"/>
        </c:scaling>
        <c:axPos val="r"/>
        <c:numFmt formatCode="0" sourceLinked="1"/>
        <c:tickLblPos val="nextTo"/>
        <c:crossAx val="83123584"/>
        <c:crosses val="max"/>
        <c:crossBetween val="between"/>
        <c:majorUnit val="100"/>
      </c:valAx>
      <c:catAx>
        <c:axId val="83123584"/>
        <c:scaling>
          <c:orientation val="minMax"/>
        </c:scaling>
        <c:delete val="1"/>
        <c:axPos val="b"/>
        <c:numFmt formatCode="0" sourceLinked="1"/>
        <c:tickLblPos val="none"/>
        <c:crossAx val="83122048"/>
        <c:crosses val="autoZero"/>
        <c:auto val="1"/>
        <c:lblAlgn val="ctr"/>
        <c:lblOffset val="100"/>
      </c:catAx>
      <c:spPr>
        <a:noFill/>
      </c:spPr>
    </c:plotArea>
    <c:legend>
      <c:legendPos val="r"/>
      <c:layout>
        <c:manualLayout>
          <c:xMode val="edge"/>
          <c:yMode val="edge"/>
          <c:x val="0.12918791090090367"/>
          <c:y val="4.891766081843138E-2"/>
          <c:w val="0.29419500125594888"/>
          <c:h val="0.192884019061962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600">
          <a:solidFill>
            <a:srgbClr val="497B5A"/>
          </a:solidFill>
          <a:latin typeface="Franklin Gothic Book" pitchFamily="34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5"/>
  <c:chart>
    <c:plotArea>
      <c:layout>
        <c:manualLayout>
          <c:layoutTarget val="inner"/>
          <c:xMode val="edge"/>
          <c:yMode val="edge"/>
          <c:x val="0.11777006368827569"/>
          <c:y val="3.6836763819732991E-2"/>
          <c:w val="0.80218073943539725"/>
          <c:h val="0.84650845727620005"/>
        </c:manualLayout>
      </c:layout>
      <c:lineChart>
        <c:grouping val="standard"/>
        <c:ser>
          <c:idx val="1"/>
          <c:order val="0"/>
          <c:tx>
            <c:strRef>
              <c:f>Feuil2!$Y$52</c:f>
              <c:strCache>
                <c:ptCount val="1"/>
                <c:pt idx="0">
                  <c:v>Tunindex</c:v>
                </c:pt>
              </c:strCache>
            </c:strRef>
          </c:tx>
          <c:marker>
            <c:symbol val="circle"/>
            <c:size val="5"/>
          </c:marker>
          <c:dLbls>
            <c:dLbl>
              <c:idx val="0"/>
              <c:layout>
                <c:manualLayout>
                  <c:x val="-0.10700932642841272"/>
                  <c:y val="4.5042903975111834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5.1706583871419104E-2"/>
                  <c:y val="-4.403673559566959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7622079055676524E-2"/>
                  <c:y val="-4.9069368890587398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5.9282144006138834E-2"/>
                  <c:y val="5.6981375435160346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5.0864364362139453E-2"/>
                  <c:y val="6.1928166073506076E-2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</a:defRPr>
                  </a:pPr>
                  <a:endParaRPr lang="fr-FR"/>
                </a:p>
              </c:txPr>
              <c:dLblPos val="r"/>
              <c:showVal val="1"/>
            </c:dLbl>
            <c:dLblPos val="ctr"/>
            <c:showVal val="1"/>
          </c:dLbls>
          <c:cat>
            <c:strRef>
              <c:f>Feuil2!$Z$50:$AD$50</c:f>
              <c:strCache>
                <c:ptCount val="5"/>
                <c:pt idx="0">
                  <c:v>Lundi</c:v>
                </c:pt>
                <c:pt idx="1">
                  <c:v>Mardi</c:v>
                </c:pt>
                <c:pt idx="2">
                  <c:v>Mercredi</c:v>
                </c:pt>
                <c:pt idx="3">
                  <c:v>Jeudi</c:v>
                </c:pt>
                <c:pt idx="4">
                  <c:v>Vendredi</c:v>
                </c:pt>
              </c:strCache>
            </c:strRef>
          </c:cat>
          <c:val>
            <c:numRef>
              <c:f>Feuil2!$Z$52:$AD$52</c:f>
              <c:numCache>
                <c:formatCode>0</c:formatCode>
                <c:ptCount val="5"/>
                <c:pt idx="0">
                  <c:v>5219.76</c:v>
                </c:pt>
                <c:pt idx="1">
                  <c:v>5213.71</c:v>
                </c:pt>
                <c:pt idx="2">
                  <c:v>5204.1200000000008</c:v>
                </c:pt>
                <c:pt idx="3">
                  <c:v>5206.67</c:v>
                </c:pt>
                <c:pt idx="4">
                  <c:v>5208.72</c:v>
                </c:pt>
              </c:numCache>
            </c:numRef>
          </c:val>
        </c:ser>
        <c:marker val="1"/>
        <c:axId val="73220096"/>
        <c:axId val="73218304"/>
      </c:lineChart>
      <c:valAx>
        <c:axId val="73218304"/>
        <c:scaling>
          <c:orientation val="minMax"/>
          <c:max val="5400"/>
          <c:min val="5000"/>
        </c:scaling>
        <c:axPos val="r"/>
        <c:numFmt formatCode="0" sourceLinked="1"/>
        <c:tickLblPos val="nextTo"/>
        <c:crossAx val="73220096"/>
        <c:crosses val="max"/>
        <c:crossBetween val="between"/>
        <c:majorUnit val="100"/>
      </c:valAx>
      <c:catAx>
        <c:axId val="73220096"/>
        <c:scaling>
          <c:orientation val="minMax"/>
        </c:scaling>
        <c:delete val="1"/>
        <c:axPos val="b"/>
        <c:numFmt formatCode="0" sourceLinked="1"/>
        <c:tickLblPos val="none"/>
        <c:crossAx val="73218304"/>
        <c:crosses val="autoZero"/>
        <c:auto val="1"/>
        <c:lblAlgn val="ctr"/>
        <c:lblOffset val="100"/>
      </c:cat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2918791090090367"/>
          <c:y val="4.8917660818431255E-2"/>
          <c:w val="0.29419500125594888"/>
          <c:h val="0.192884019061962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600">
          <a:solidFill>
            <a:srgbClr val="497B5A"/>
          </a:solidFill>
          <a:latin typeface="Franklin Gothic Book" pitchFamily="34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4F64-DE70-4D15-B1DE-C41509D8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webone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fatmaz</cp:lastModifiedBy>
  <cp:revision>2</cp:revision>
  <cp:lastPrinted>2015-10-29T15:33:00Z</cp:lastPrinted>
  <dcterms:created xsi:type="dcterms:W3CDTF">2015-10-29T15:34:00Z</dcterms:created>
  <dcterms:modified xsi:type="dcterms:W3CDTF">2015-10-29T15:34:00Z</dcterms:modified>
</cp:coreProperties>
</file>